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55D" w:rsidRDefault="00B2555D">
      <w:bookmarkStart w:id="0" w:name="_GoBack"/>
      <w:bookmarkEnd w:id="0"/>
    </w:p>
    <w:tbl>
      <w:tblPr>
        <w:tblpPr w:leftFromText="187" w:rightFromText="187" w:horzAnchor="margin" w:tblpXSpec="center" w:tblpY="2881"/>
        <w:tblW w:w="4000" w:type="pct"/>
        <w:tblBorders>
          <w:left w:val="single" w:sz="18" w:space="0" w:color="D16349" w:themeColor="accent1"/>
        </w:tblBorders>
        <w:tblLook w:val="04A0" w:firstRow="1" w:lastRow="0" w:firstColumn="1" w:lastColumn="0" w:noHBand="0" w:noVBand="1"/>
      </w:tblPr>
      <w:tblGrid>
        <w:gridCol w:w="7440"/>
      </w:tblGrid>
      <w:tr w:rsidR="003D305C" w:rsidTr="00201C1A">
        <w:tc>
          <w:tcPr>
            <w:tcW w:w="7672" w:type="dxa"/>
            <w:shd w:val="clear" w:color="auto" w:fill="FFFFFF"/>
            <w:tcMar>
              <w:top w:w="216" w:type="dxa"/>
              <w:left w:w="115" w:type="dxa"/>
              <w:bottom w:w="216" w:type="dxa"/>
              <w:right w:w="115" w:type="dxa"/>
            </w:tcMar>
          </w:tcPr>
          <w:p w:rsidR="005E2E1C" w:rsidRDefault="00B2555D" w:rsidP="006D5B52">
            <w:pPr>
              <w:pStyle w:val="NoSpacing"/>
              <w:jc w:val="center"/>
              <w:rPr>
                <w:rFonts w:asciiTheme="majorHAnsi" w:eastAsiaTheme="majorEastAsia" w:hAnsiTheme="majorHAnsi" w:cstheme="majorBidi"/>
                <w:lang w:val="en-GB" w:eastAsia="en-US"/>
              </w:rPr>
            </w:pPr>
            <w:r>
              <w:t>African Union Commission</w:t>
            </w:r>
          </w:p>
          <w:p w:rsidR="003D305C" w:rsidRPr="00201C1A" w:rsidRDefault="003D305C" w:rsidP="006D5B52">
            <w:pPr>
              <w:pStyle w:val="NoSpacing"/>
              <w:jc w:val="center"/>
              <w:rPr>
                <w:rFonts w:asciiTheme="majorHAnsi" w:hAnsiTheme="majorHAnsi"/>
              </w:rPr>
            </w:pPr>
          </w:p>
        </w:tc>
      </w:tr>
      <w:tr w:rsidR="003D305C" w:rsidTr="00201C1A">
        <w:tc>
          <w:tcPr>
            <w:tcW w:w="7672" w:type="dxa"/>
            <w:shd w:val="clear" w:color="auto" w:fill="FFFFFF"/>
          </w:tcPr>
          <w:p w:rsidR="005E2E1C" w:rsidRDefault="00B2555D" w:rsidP="006D5B52">
            <w:pPr>
              <w:pStyle w:val="NoSpacing"/>
              <w:jc w:val="center"/>
              <w:rPr>
                <w:rFonts w:asciiTheme="majorHAnsi" w:eastAsiaTheme="majorEastAsia" w:hAnsiTheme="majorHAnsi" w:cstheme="majorBidi"/>
                <w:color w:val="D16349" w:themeColor="accent1"/>
                <w:sz w:val="80"/>
                <w:szCs w:val="80"/>
              </w:rPr>
            </w:pPr>
            <w:r>
              <w:rPr>
                <w:color w:val="C04F33"/>
                <w:sz w:val="80"/>
                <w:lang w:val="en-GB"/>
              </w:rPr>
              <w:t>2014 Status Report on Maternal Newborn and Child Health</w:t>
            </w:r>
          </w:p>
          <w:p w:rsidR="003D305C" w:rsidRPr="00201C1A" w:rsidRDefault="003D305C" w:rsidP="00201C1A">
            <w:pPr>
              <w:pStyle w:val="NoSpacing"/>
              <w:rPr>
                <w:rFonts w:asciiTheme="majorHAnsi" w:hAnsiTheme="majorHAnsi"/>
                <w:color w:val="D16349" w:themeColor="accent1"/>
                <w:sz w:val="80"/>
              </w:rPr>
            </w:pPr>
          </w:p>
        </w:tc>
      </w:tr>
      <w:tr w:rsidR="003D305C" w:rsidTr="00201C1A">
        <w:tc>
          <w:tcPr>
            <w:tcW w:w="7672" w:type="dxa"/>
            <w:shd w:val="clear" w:color="auto" w:fill="FFFFFF"/>
            <w:tcMar>
              <w:top w:w="216" w:type="dxa"/>
              <w:left w:w="115" w:type="dxa"/>
              <w:bottom w:w="216" w:type="dxa"/>
              <w:right w:w="115" w:type="dxa"/>
            </w:tcMar>
          </w:tcPr>
          <w:p w:rsidR="003D305C" w:rsidRPr="00201C1A" w:rsidRDefault="006D5B52" w:rsidP="006D5B52">
            <w:pPr>
              <w:pStyle w:val="NoSpacing"/>
              <w:rPr>
                <w:rFonts w:asciiTheme="majorHAnsi" w:hAnsiTheme="majorHAnsi"/>
              </w:rPr>
            </w:pPr>
            <w:r>
              <w:t>D</w:t>
            </w:r>
            <w:r w:rsidR="00B2555D">
              <w:t>raft</w:t>
            </w:r>
          </w:p>
        </w:tc>
      </w:tr>
    </w:tbl>
    <w:p w:rsidR="003D305C" w:rsidRDefault="003D305C"/>
    <w:p w:rsidR="003D305C" w:rsidRDefault="003D305C"/>
    <w:tbl>
      <w:tblPr>
        <w:tblpPr w:leftFromText="187" w:rightFromText="187" w:horzAnchor="margin" w:tblpXSpec="center" w:tblpYSpec="bottom"/>
        <w:tblW w:w="4000" w:type="pct"/>
        <w:tblLook w:val="04A0" w:firstRow="1" w:lastRow="0" w:firstColumn="1" w:lastColumn="0" w:noHBand="0" w:noVBand="1"/>
      </w:tblPr>
      <w:tblGrid>
        <w:gridCol w:w="7440"/>
      </w:tblGrid>
      <w:tr w:rsidR="003D305C" w:rsidTr="00201C1A">
        <w:tc>
          <w:tcPr>
            <w:tcW w:w="7672" w:type="dxa"/>
            <w:shd w:val="clear" w:color="auto" w:fill="FFFFFF"/>
            <w:tcMar>
              <w:top w:w="216" w:type="dxa"/>
              <w:left w:w="115" w:type="dxa"/>
              <w:bottom w:w="216" w:type="dxa"/>
              <w:right w:w="115" w:type="dxa"/>
            </w:tcMar>
          </w:tcPr>
          <w:p w:rsidR="003D305C" w:rsidRPr="00201C1A" w:rsidRDefault="003D305C" w:rsidP="00201C1A">
            <w:pPr>
              <w:pStyle w:val="NoSpacing"/>
              <w:rPr>
                <w:color w:val="D16349" w:themeColor="accent1"/>
              </w:rPr>
            </w:pPr>
          </w:p>
        </w:tc>
      </w:tr>
    </w:tbl>
    <w:p w:rsidR="003D305C" w:rsidRDefault="003D305C"/>
    <w:p w:rsidR="003D305C" w:rsidRDefault="003D305C" w:rsidP="00201C1A">
      <w:r w:rsidRPr="00201C1A">
        <w:rPr>
          <w:b/>
        </w:rPr>
        <w:br w:type="page"/>
      </w:r>
    </w:p>
    <w:sdt>
      <w:sdtPr>
        <w:rPr>
          <w:rFonts w:asciiTheme="minorHAnsi" w:eastAsiaTheme="minorHAnsi" w:hAnsiTheme="minorHAnsi" w:cstheme="minorBidi"/>
          <w:b w:val="0"/>
          <w:bCs w:val="0"/>
          <w:color w:val="auto"/>
          <w:sz w:val="22"/>
          <w:szCs w:val="22"/>
          <w:lang w:val="en-GB" w:eastAsia="en-US"/>
        </w:rPr>
        <w:id w:val="-1687753107"/>
        <w:docPartObj>
          <w:docPartGallery w:val="Table of Contents"/>
          <w:docPartUnique/>
        </w:docPartObj>
      </w:sdtPr>
      <w:sdtEndPr>
        <w:rPr>
          <w:noProof/>
        </w:rPr>
      </w:sdtEndPr>
      <w:sdtContent>
        <w:p w:rsidR="005C738B" w:rsidRDefault="005C738B">
          <w:pPr>
            <w:pStyle w:val="TOCHeading"/>
          </w:pPr>
          <w:r>
            <w:t>Contents</w:t>
          </w:r>
        </w:p>
        <w:p w:rsidR="00E728F6" w:rsidRDefault="00373FF7">
          <w:pPr>
            <w:pStyle w:val="TOC1"/>
            <w:tabs>
              <w:tab w:val="right" w:leader="dot" w:pos="9060"/>
            </w:tabs>
            <w:rPr>
              <w:rFonts w:eastAsiaTheme="minorEastAsia"/>
              <w:noProof/>
              <w:lang w:eastAsia="en-GB"/>
            </w:rPr>
          </w:pPr>
          <w:r>
            <w:fldChar w:fldCharType="begin"/>
          </w:r>
          <w:r w:rsidR="005C738B">
            <w:instrText xml:space="preserve"> TOC \o "1-3" \h \z \u </w:instrText>
          </w:r>
          <w:r>
            <w:fldChar w:fldCharType="separate"/>
          </w:r>
          <w:hyperlink w:anchor="_Toc411525470" w:history="1">
            <w:r w:rsidR="00E728F6" w:rsidRPr="004671B2">
              <w:rPr>
                <w:rStyle w:val="Hyperlink"/>
                <w:noProof/>
              </w:rPr>
              <w:t>Executive Summary</w:t>
            </w:r>
            <w:r w:rsidR="00E728F6">
              <w:rPr>
                <w:noProof/>
                <w:webHidden/>
              </w:rPr>
              <w:tab/>
            </w:r>
            <w:r w:rsidR="00E728F6">
              <w:rPr>
                <w:noProof/>
                <w:webHidden/>
              </w:rPr>
              <w:fldChar w:fldCharType="begin"/>
            </w:r>
            <w:r w:rsidR="00E728F6">
              <w:rPr>
                <w:noProof/>
                <w:webHidden/>
              </w:rPr>
              <w:instrText xml:space="preserve"> PAGEREF _Toc411525470 \h </w:instrText>
            </w:r>
            <w:r w:rsidR="00E728F6">
              <w:rPr>
                <w:noProof/>
                <w:webHidden/>
              </w:rPr>
            </w:r>
            <w:r w:rsidR="00E728F6">
              <w:rPr>
                <w:noProof/>
                <w:webHidden/>
              </w:rPr>
              <w:fldChar w:fldCharType="separate"/>
            </w:r>
            <w:r w:rsidR="00E728F6">
              <w:rPr>
                <w:noProof/>
                <w:webHidden/>
              </w:rPr>
              <w:t>4</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71" w:history="1">
            <w:r w:rsidR="00E728F6" w:rsidRPr="004671B2">
              <w:rPr>
                <w:rStyle w:val="Hyperlink"/>
                <w:b/>
                <w:noProof/>
              </w:rPr>
              <w:t>Introduction</w:t>
            </w:r>
            <w:r w:rsidR="00E728F6">
              <w:rPr>
                <w:noProof/>
                <w:webHidden/>
              </w:rPr>
              <w:tab/>
            </w:r>
            <w:r w:rsidR="00E728F6">
              <w:rPr>
                <w:noProof/>
                <w:webHidden/>
              </w:rPr>
              <w:fldChar w:fldCharType="begin"/>
            </w:r>
            <w:r w:rsidR="00E728F6">
              <w:rPr>
                <w:noProof/>
                <w:webHidden/>
              </w:rPr>
              <w:instrText xml:space="preserve"> PAGEREF _Toc411525471 \h </w:instrText>
            </w:r>
            <w:r w:rsidR="00E728F6">
              <w:rPr>
                <w:noProof/>
                <w:webHidden/>
              </w:rPr>
            </w:r>
            <w:r w:rsidR="00E728F6">
              <w:rPr>
                <w:noProof/>
                <w:webHidden/>
              </w:rPr>
              <w:fldChar w:fldCharType="separate"/>
            </w:r>
            <w:r w:rsidR="00E728F6">
              <w:rPr>
                <w:noProof/>
                <w:webHidden/>
              </w:rPr>
              <w:t>7</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72" w:history="1">
            <w:r w:rsidR="00E728F6" w:rsidRPr="004671B2">
              <w:rPr>
                <w:rStyle w:val="Hyperlink"/>
                <w:noProof/>
              </w:rPr>
              <w:t>Child and Neonatal Health</w:t>
            </w:r>
            <w:r w:rsidR="00E728F6">
              <w:rPr>
                <w:noProof/>
                <w:webHidden/>
              </w:rPr>
              <w:tab/>
            </w:r>
            <w:r w:rsidR="00E728F6">
              <w:rPr>
                <w:noProof/>
                <w:webHidden/>
              </w:rPr>
              <w:fldChar w:fldCharType="begin"/>
            </w:r>
            <w:r w:rsidR="00E728F6">
              <w:rPr>
                <w:noProof/>
                <w:webHidden/>
              </w:rPr>
              <w:instrText xml:space="preserve"> PAGEREF _Toc411525472 \h </w:instrText>
            </w:r>
            <w:r w:rsidR="00E728F6">
              <w:rPr>
                <w:noProof/>
                <w:webHidden/>
              </w:rPr>
            </w:r>
            <w:r w:rsidR="00E728F6">
              <w:rPr>
                <w:noProof/>
                <w:webHidden/>
              </w:rPr>
              <w:fldChar w:fldCharType="separate"/>
            </w:r>
            <w:r w:rsidR="00E728F6">
              <w:rPr>
                <w:noProof/>
                <w:webHidden/>
              </w:rPr>
              <w:t>10</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73" w:history="1">
            <w:r w:rsidR="00E728F6" w:rsidRPr="004671B2">
              <w:rPr>
                <w:rStyle w:val="Hyperlink"/>
                <w:noProof/>
              </w:rPr>
              <w:t>Child Mortality</w:t>
            </w:r>
            <w:r w:rsidR="00E728F6">
              <w:rPr>
                <w:noProof/>
                <w:webHidden/>
              </w:rPr>
              <w:tab/>
            </w:r>
            <w:r w:rsidR="00E728F6">
              <w:rPr>
                <w:noProof/>
                <w:webHidden/>
              </w:rPr>
              <w:fldChar w:fldCharType="begin"/>
            </w:r>
            <w:r w:rsidR="00E728F6">
              <w:rPr>
                <w:noProof/>
                <w:webHidden/>
              </w:rPr>
              <w:instrText xml:space="preserve"> PAGEREF _Toc411525473 \h </w:instrText>
            </w:r>
            <w:r w:rsidR="00E728F6">
              <w:rPr>
                <w:noProof/>
                <w:webHidden/>
              </w:rPr>
            </w:r>
            <w:r w:rsidR="00E728F6">
              <w:rPr>
                <w:noProof/>
                <w:webHidden/>
              </w:rPr>
              <w:fldChar w:fldCharType="separate"/>
            </w:r>
            <w:r w:rsidR="00E728F6">
              <w:rPr>
                <w:noProof/>
                <w:webHidden/>
              </w:rPr>
              <w:t>10</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74" w:history="1">
            <w:r w:rsidR="00E728F6" w:rsidRPr="004671B2">
              <w:rPr>
                <w:rStyle w:val="Hyperlink"/>
                <w:noProof/>
              </w:rPr>
              <w:t>Infant and Neonatal Mortality</w:t>
            </w:r>
            <w:r w:rsidR="00E728F6">
              <w:rPr>
                <w:noProof/>
                <w:webHidden/>
              </w:rPr>
              <w:tab/>
            </w:r>
            <w:r w:rsidR="00E728F6">
              <w:rPr>
                <w:noProof/>
                <w:webHidden/>
              </w:rPr>
              <w:fldChar w:fldCharType="begin"/>
            </w:r>
            <w:r w:rsidR="00E728F6">
              <w:rPr>
                <w:noProof/>
                <w:webHidden/>
              </w:rPr>
              <w:instrText xml:space="preserve"> PAGEREF _Toc411525474 \h </w:instrText>
            </w:r>
            <w:r w:rsidR="00E728F6">
              <w:rPr>
                <w:noProof/>
                <w:webHidden/>
              </w:rPr>
            </w:r>
            <w:r w:rsidR="00E728F6">
              <w:rPr>
                <w:noProof/>
                <w:webHidden/>
              </w:rPr>
              <w:fldChar w:fldCharType="separate"/>
            </w:r>
            <w:r w:rsidR="00E728F6">
              <w:rPr>
                <w:noProof/>
                <w:webHidden/>
              </w:rPr>
              <w:t>17</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75" w:history="1">
            <w:r w:rsidR="00E728F6" w:rsidRPr="004671B2">
              <w:rPr>
                <w:rStyle w:val="Hyperlink"/>
                <w:noProof/>
              </w:rPr>
              <w:t>Nutrition</w:t>
            </w:r>
            <w:r w:rsidR="00E728F6">
              <w:rPr>
                <w:noProof/>
                <w:webHidden/>
              </w:rPr>
              <w:tab/>
            </w:r>
            <w:r w:rsidR="00E728F6">
              <w:rPr>
                <w:noProof/>
                <w:webHidden/>
              </w:rPr>
              <w:fldChar w:fldCharType="begin"/>
            </w:r>
            <w:r w:rsidR="00E728F6">
              <w:rPr>
                <w:noProof/>
                <w:webHidden/>
              </w:rPr>
              <w:instrText xml:space="preserve"> PAGEREF _Toc411525475 \h </w:instrText>
            </w:r>
            <w:r w:rsidR="00E728F6">
              <w:rPr>
                <w:noProof/>
                <w:webHidden/>
              </w:rPr>
            </w:r>
            <w:r w:rsidR="00E728F6">
              <w:rPr>
                <w:noProof/>
                <w:webHidden/>
              </w:rPr>
              <w:fldChar w:fldCharType="separate"/>
            </w:r>
            <w:r w:rsidR="00E728F6">
              <w:rPr>
                <w:noProof/>
                <w:webHidden/>
              </w:rPr>
              <w:t>20</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76" w:history="1">
            <w:r w:rsidR="00E728F6" w:rsidRPr="004671B2">
              <w:rPr>
                <w:rStyle w:val="Hyperlink"/>
                <w:noProof/>
              </w:rPr>
              <w:t>Immunisation</w:t>
            </w:r>
            <w:r w:rsidR="00E728F6">
              <w:rPr>
                <w:noProof/>
                <w:webHidden/>
              </w:rPr>
              <w:tab/>
            </w:r>
            <w:r w:rsidR="00E728F6">
              <w:rPr>
                <w:noProof/>
                <w:webHidden/>
              </w:rPr>
              <w:fldChar w:fldCharType="begin"/>
            </w:r>
            <w:r w:rsidR="00E728F6">
              <w:rPr>
                <w:noProof/>
                <w:webHidden/>
              </w:rPr>
              <w:instrText xml:space="preserve"> PAGEREF _Toc411525476 \h </w:instrText>
            </w:r>
            <w:r w:rsidR="00E728F6">
              <w:rPr>
                <w:noProof/>
                <w:webHidden/>
              </w:rPr>
            </w:r>
            <w:r w:rsidR="00E728F6">
              <w:rPr>
                <w:noProof/>
                <w:webHidden/>
              </w:rPr>
              <w:fldChar w:fldCharType="separate"/>
            </w:r>
            <w:r w:rsidR="00E728F6">
              <w:rPr>
                <w:noProof/>
                <w:webHidden/>
              </w:rPr>
              <w:t>21</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77" w:history="1">
            <w:r w:rsidR="00E728F6" w:rsidRPr="004671B2">
              <w:rPr>
                <w:rStyle w:val="Hyperlink"/>
                <w:noProof/>
              </w:rPr>
              <w:t>Maternal Health</w:t>
            </w:r>
            <w:r w:rsidR="00E728F6">
              <w:rPr>
                <w:noProof/>
                <w:webHidden/>
              </w:rPr>
              <w:tab/>
            </w:r>
            <w:r w:rsidR="00E728F6">
              <w:rPr>
                <w:noProof/>
                <w:webHidden/>
              </w:rPr>
              <w:fldChar w:fldCharType="begin"/>
            </w:r>
            <w:r w:rsidR="00E728F6">
              <w:rPr>
                <w:noProof/>
                <w:webHidden/>
              </w:rPr>
              <w:instrText xml:space="preserve"> PAGEREF _Toc411525477 \h </w:instrText>
            </w:r>
            <w:r w:rsidR="00E728F6">
              <w:rPr>
                <w:noProof/>
                <w:webHidden/>
              </w:rPr>
            </w:r>
            <w:r w:rsidR="00E728F6">
              <w:rPr>
                <w:noProof/>
                <w:webHidden/>
              </w:rPr>
              <w:fldChar w:fldCharType="separate"/>
            </w:r>
            <w:r w:rsidR="00E728F6">
              <w:rPr>
                <w:noProof/>
                <w:webHidden/>
              </w:rPr>
              <w:t>25</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78" w:history="1">
            <w:r w:rsidR="00E728F6" w:rsidRPr="004671B2">
              <w:rPr>
                <w:rStyle w:val="Hyperlink"/>
                <w:noProof/>
              </w:rPr>
              <w:t>Antenatal Care</w:t>
            </w:r>
            <w:r w:rsidR="00E728F6">
              <w:rPr>
                <w:noProof/>
                <w:webHidden/>
              </w:rPr>
              <w:tab/>
            </w:r>
            <w:r w:rsidR="00E728F6">
              <w:rPr>
                <w:noProof/>
                <w:webHidden/>
              </w:rPr>
              <w:fldChar w:fldCharType="begin"/>
            </w:r>
            <w:r w:rsidR="00E728F6">
              <w:rPr>
                <w:noProof/>
                <w:webHidden/>
              </w:rPr>
              <w:instrText xml:space="preserve"> PAGEREF _Toc411525478 \h </w:instrText>
            </w:r>
            <w:r w:rsidR="00E728F6">
              <w:rPr>
                <w:noProof/>
                <w:webHidden/>
              </w:rPr>
            </w:r>
            <w:r w:rsidR="00E728F6">
              <w:rPr>
                <w:noProof/>
                <w:webHidden/>
              </w:rPr>
              <w:fldChar w:fldCharType="separate"/>
            </w:r>
            <w:r w:rsidR="00E728F6">
              <w:rPr>
                <w:noProof/>
                <w:webHidden/>
              </w:rPr>
              <w:t>30</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79" w:history="1">
            <w:r w:rsidR="00E728F6" w:rsidRPr="004671B2">
              <w:rPr>
                <w:rStyle w:val="Hyperlink"/>
                <w:noProof/>
              </w:rPr>
              <w:t>Sexual and Reproductive Health and Rights</w:t>
            </w:r>
            <w:r w:rsidR="00E728F6">
              <w:rPr>
                <w:noProof/>
                <w:webHidden/>
              </w:rPr>
              <w:tab/>
            </w:r>
            <w:r w:rsidR="00E728F6">
              <w:rPr>
                <w:noProof/>
                <w:webHidden/>
              </w:rPr>
              <w:fldChar w:fldCharType="begin"/>
            </w:r>
            <w:r w:rsidR="00E728F6">
              <w:rPr>
                <w:noProof/>
                <w:webHidden/>
              </w:rPr>
              <w:instrText xml:space="preserve"> PAGEREF _Toc411525479 \h </w:instrText>
            </w:r>
            <w:r w:rsidR="00E728F6">
              <w:rPr>
                <w:noProof/>
                <w:webHidden/>
              </w:rPr>
            </w:r>
            <w:r w:rsidR="00E728F6">
              <w:rPr>
                <w:noProof/>
                <w:webHidden/>
              </w:rPr>
              <w:fldChar w:fldCharType="separate"/>
            </w:r>
            <w:r w:rsidR="00E728F6">
              <w:rPr>
                <w:noProof/>
                <w:webHidden/>
              </w:rPr>
              <w:t>33</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0" w:history="1">
            <w:r w:rsidR="00E728F6" w:rsidRPr="004671B2">
              <w:rPr>
                <w:rStyle w:val="Hyperlink"/>
                <w:noProof/>
              </w:rPr>
              <w:t>Family Planning</w:t>
            </w:r>
            <w:r w:rsidR="00E728F6">
              <w:rPr>
                <w:noProof/>
                <w:webHidden/>
              </w:rPr>
              <w:tab/>
            </w:r>
            <w:r w:rsidR="00E728F6">
              <w:rPr>
                <w:noProof/>
                <w:webHidden/>
              </w:rPr>
              <w:fldChar w:fldCharType="begin"/>
            </w:r>
            <w:r w:rsidR="00E728F6">
              <w:rPr>
                <w:noProof/>
                <w:webHidden/>
              </w:rPr>
              <w:instrText xml:space="preserve"> PAGEREF _Toc411525480 \h </w:instrText>
            </w:r>
            <w:r w:rsidR="00E728F6">
              <w:rPr>
                <w:noProof/>
                <w:webHidden/>
              </w:rPr>
            </w:r>
            <w:r w:rsidR="00E728F6">
              <w:rPr>
                <w:noProof/>
                <w:webHidden/>
              </w:rPr>
              <w:fldChar w:fldCharType="separate"/>
            </w:r>
            <w:r w:rsidR="00E728F6">
              <w:rPr>
                <w:noProof/>
                <w:webHidden/>
              </w:rPr>
              <w:t>33</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1" w:history="1">
            <w:r w:rsidR="00E728F6" w:rsidRPr="004671B2">
              <w:rPr>
                <w:rStyle w:val="Hyperlink"/>
                <w:noProof/>
              </w:rPr>
              <w:t>HIV and Prevention of Mother to Child Transmission</w:t>
            </w:r>
            <w:r w:rsidR="00E728F6">
              <w:rPr>
                <w:noProof/>
                <w:webHidden/>
              </w:rPr>
              <w:tab/>
            </w:r>
            <w:r w:rsidR="00E728F6">
              <w:rPr>
                <w:noProof/>
                <w:webHidden/>
              </w:rPr>
              <w:fldChar w:fldCharType="begin"/>
            </w:r>
            <w:r w:rsidR="00E728F6">
              <w:rPr>
                <w:noProof/>
                <w:webHidden/>
              </w:rPr>
              <w:instrText xml:space="preserve"> PAGEREF _Toc411525481 \h </w:instrText>
            </w:r>
            <w:r w:rsidR="00E728F6">
              <w:rPr>
                <w:noProof/>
                <w:webHidden/>
              </w:rPr>
            </w:r>
            <w:r w:rsidR="00E728F6">
              <w:rPr>
                <w:noProof/>
                <w:webHidden/>
              </w:rPr>
              <w:fldChar w:fldCharType="separate"/>
            </w:r>
            <w:r w:rsidR="00E728F6">
              <w:rPr>
                <w:noProof/>
                <w:webHidden/>
              </w:rPr>
              <w:t>36</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2" w:history="1">
            <w:r w:rsidR="00E728F6" w:rsidRPr="004671B2">
              <w:rPr>
                <w:rStyle w:val="Hyperlink"/>
                <w:noProof/>
              </w:rPr>
              <w:t>Adolescent Reproductive Health</w:t>
            </w:r>
            <w:r w:rsidR="00E728F6">
              <w:rPr>
                <w:noProof/>
                <w:webHidden/>
              </w:rPr>
              <w:tab/>
            </w:r>
            <w:r w:rsidR="00E728F6">
              <w:rPr>
                <w:noProof/>
                <w:webHidden/>
              </w:rPr>
              <w:fldChar w:fldCharType="begin"/>
            </w:r>
            <w:r w:rsidR="00E728F6">
              <w:rPr>
                <w:noProof/>
                <w:webHidden/>
              </w:rPr>
              <w:instrText xml:space="preserve"> PAGEREF _Toc411525482 \h </w:instrText>
            </w:r>
            <w:r w:rsidR="00E728F6">
              <w:rPr>
                <w:noProof/>
                <w:webHidden/>
              </w:rPr>
            </w:r>
            <w:r w:rsidR="00E728F6">
              <w:rPr>
                <w:noProof/>
                <w:webHidden/>
              </w:rPr>
              <w:fldChar w:fldCharType="separate"/>
            </w:r>
            <w:r w:rsidR="00E728F6">
              <w:rPr>
                <w:noProof/>
                <w:webHidden/>
              </w:rPr>
              <w:t>38</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83" w:history="1">
            <w:r w:rsidR="00E728F6" w:rsidRPr="004671B2">
              <w:rPr>
                <w:rStyle w:val="Hyperlink"/>
                <w:noProof/>
              </w:rPr>
              <w:t>Cross Cutting Issues Affecting Maternal and Child Health in Africa</w:t>
            </w:r>
            <w:r w:rsidR="00E728F6">
              <w:rPr>
                <w:noProof/>
                <w:webHidden/>
              </w:rPr>
              <w:tab/>
            </w:r>
            <w:r w:rsidR="00E728F6">
              <w:rPr>
                <w:noProof/>
                <w:webHidden/>
              </w:rPr>
              <w:fldChar w:fldCharType="begin"/>
            </w:r>
            <w:r w:rsidR="00E728F6">
              <w:rPr>
                <w:noProof/>
                <w:webHidden/>
              </w:rPr>
              <w:instrText xml:space="preserve"> PAGEREF _Toc411525483 \h </w:instrText>
            </w:r>
            <w:r w:rsidR="00E728F6">
              <w:rPr>
                <w:noProof/>
                <w:webHidden/>
              </w:rPr>
            </w:r>
            <w:r w:rsidR="00E728F6">
              <w:rPr>
                <w:noProof/>
                <w:webHidden/>
              </w:rPr>
              <w:fldChar w:fldCharType="separate"/>
            </w:r>
            <w:r w:rsidR="00E728F6">
              <w:rPr>
                <w:noProof/>
                <w:webHidden/>
              </w:rPr>
              <w:t>41</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4" w:history="1">
            <w:r w:rsidR="00E728F6" w:rsidRPr="004671B2">
              <w:rPr>
                <w:rStyle w:val="Hyperlink"/>
                <w:noProof/>
              </w:rPr>
              <w:t>Gender and Power Relations</w:t>
            </w:r>
            <w:r w:rsidR="00E728F6">
              <w:rPr>
                <w:noProof/>
                <w:webHidden/>
              </w:rPr>
              <w:tab/>
            </w:r>
            <w:r w:rsidR="00E728F6">
              <w:rPr>
                <w:noProof/>
                <w:webHidden/>
              </w:rPr>
              <w:fldChar w:fldCharType="begin"/>
            </w:r>
            <w:r w:rsidR="00E728F6">
              <w:rPr>
                <w:noProof/>
                <w:webHidden/>
              </w:rPr>
              <w:instrText xml:space="preserve"> PAGEREF _Toc411525484 \h </w:instrText>
            </w:r>
            <w:r w:rsidR="00E728F6">
              <w:rPr>
                <w:noProof/>
                <w:webHidden/>
              </w:rPr>
            </w:r>
            <w:r w:rsidR="00E728F6">
              <w:rPr>
                <w:noProof/>
                <w:webHidden/>
              </w:rPr>
              <w:fldChar w:fldCharType="separate"/>
            </w:r>
            <w:r w:rsidR="00E728F6">
              <w:rPr>
                <w:noProof/>
                <w:webHidden/>
              </w:rPr>
              <w:t>41</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5" w:history="1">
            <w:r w:rsidR="00E728F6" w:rsidRPr="004671B2">
              <w:rPr>
                <w:rStyle w:val="Hyperlink"/>
                <w:noProof/>
              </w:rPr>
              <w:t>Education</w:t>
            </w:r>
            <w:r w:rsidR="00E728F6">
              <w:rPr>
                <w:noProof/>
                <w:webHidden/>
              </w:rPr>
              <w:tab/>
            </w:r>
            <w:r w:rsidR="00E728F6">
              <w:rPr>
                <w:noProof/>
                <w:webHidden/>
              </w:rPr>
              <w:fldChar w:fldCharType="begin"/>
            </w:r>
            <w:r w:rsidR="00E728F6">
              <w:rPr>
                <w:noProof/>
                <w:webHidden/>
              </w:rPr>
              <w:instrText xml:space="preserve"> PAGEREF _Toc411525485 \h </w:instrText>
            </w:r>
            <w:r w:rsidR="00E728F6">
              <w:rPr>
                <w:noProof/>
                <w:webHidden/>
              </w:rPr>
            </w:r>
            <w:r w:rsidR="00E728F6">
              <w:rPr>
                <w:noProof/>
                <w:webHidden/>
              </w:rPr>
              <w:fldChar w:fldCharType="separate"/>
            </w:r>
            <w:r w:rsidR="00E728F6">
              <w:rPr>
                <w:noProof/>
                <w:webHidden/>
              </w:rPr>
              <w:t>41</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6" w:history="1">
            <w:r w:rsidR="00E728F6" w:rsidRPr="004671B2">
              <w:rPr>
                <w:rStyle w:val="Hyperlink"/>
                <w:noProof/>
              </w:rPr>
              <w:t>Agriculture, Food and Nutrition Security</w:t>
            </w:r>
            <w:r w:rsidR="00E728F6">
              <w:rPr>
                <w:noProof/>
                <w:webHidden/>
              </w:rPr>
              <w:tab/>
            </w:r>
            <w:r w:rsidR="00E728F6">
              <w:rPr>
                <w:noProof/>
                <w:webHidden/>
              </w:rPr>
              <w:fldChar w:fldCharType="begin"/>
            </w:r>
            <w:r w:rsidR="00E728F6">
              <w:rPr>
                <w:noProof/>
                <w:webHidden/>
              </w:rPr>
              <w:instrText xml:space="preserve"> PAGEREF _Toc411525486 \h </w:instrText>
            </w:r>
            <w:r w:rsidR="00E728F6">
              <w:rPr>
                <w:noProof/>
                <w:webHidden/>
              </w:rPr>
            </w:r>
            <w:r w:rsidR="00E728F6">
              <w:rPr>
                <w:noProof/>
                <w:webHidden/>
              </w:rPr>
              <w:fldChar w:fldCharType="separate"/>
            </w:r>
            <w:r w:rsidR="00E728F6">
              <w:rPr>
                <w:noProof/>
                <w:webHidden/>
              </w:rPr>
              <w:t>42</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7" w:history="1">
            <w:r w:rsidR="00E728F6" w:rsidRPr="004671B2">
              <w:rPr>
                <w:rStyle w:val="Hyperlink"/>
                <w:noProof/>
              </w:rPr>
              <w:t>Microeconomy</w:t>
            </w:r>
            <w:r w:rsidR="00E728F6">
              <w:rPr>
                <w:noProof/>
                <w:webHidden/>
              </w:rPr>
              <w:tab/>
            </w:r>
            <w:r w:rsidR="00E728F6">
              <w:rPr>
                <w:noProof/>
                <w:webHidden/>
              </w:rPr>
              <w:fldChar w:fldCharType="begin"/>
            </w:r>
            <w:r w:rsidR="00E728F6">
              <w:rPr>
                <w:noProof/>
                <w:webHidden/>
              </w:rPr>
              <w:instrText xml:space="preserve"> PAGEREF _Toc411525487 \h </w:instrText>
            </w:r>
            <w:r w:rsidR="00E728F6">
              <w:rPr>
                <w:noProof/>
                <w:webHidden/>
              </w:rPr>
            </w:r>
            <w:r w:rsidR="00E728F6">
              <w:rPr>
                <w:noProof/>
                <w:webHidden/>
              </w:rPr>
              <w:fldChar w:fldCharType="separate"/>
            </w:r>
            <w:r w:rsidR="00E728F6">
              <w:rPr>
                <w:noProof/>
                <w:webHidden/>
              </w:rPr>
              <w:t>43</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88" w:history="1">
            <w:r w:rsidR="00E728F6" w:rsidRPr="004671B2">
              <w:rPr>
                <w:rStyle w:val="Hyperlink"/>
                <w:noProof/>
              </w:rPr>
              <w:t>Low Cost and High Impact Interventions in MNCH</w:t>
            </w:r>
            <w:r w:rsidR="00E728F6">
              <w:rPr>
                <w:noProof/>
                <w:webHidden/>
              </w:rPr>
              <w:tab/>
            </w:r>
            <w:r w:rsidR="00E728F6">
              <w:rPr>
                <w:noProof/>
                <w:webHidden/>
              </w:rPr>
              <w:fldChar w:fldCharType="begin"/>
            </w:r>
            <w:r w:rsidR="00E728F6">
              <w:rPr>
                <w:noProof/>
                <w:webHidden/>
              </w:rPr>
              <w:instrText xml:space="preserve"> PAGEREF _Toc411525488 \h </w:instrText>
            </w:r>
            <w:r w:rsidR="00E728F6">
              <w:rPr>
                <w:noProof/>
                <w:webHidden/>
              </w:rPr>
            </w:r>
            <w:r w:rsidR="00E728F6">
              <w:rPr>
                <w:noProof/>
                <w:webHidden/>
              </w:rPr>
              <w:fldChar w:fldCharType="separate"/>
            </w:r>
            <w:r w:rsidR="00E728F6">
              <w:rPr>
                <w:noProof/>
                <w:webHidden/>
              </w:rPr>
              <w:t>44</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89" w:history="1">
            <w:r w:rsidR="00E728F6" w:rsidRPr="004671B2">
              <w:rPr>
                <w:rStyle w:val="Hyperlink"/>
                <w:noProof/>
              </w:rPr>
              <w:t>Expansion of Midwifery Training</w:t>
            </w:r>
            <w:r w:rsidR="00E728F6">
              <w:rPr>
                <w:noProof/>
                <w:webHidden/>
              </w:rPr>
              <w:tab/>
            </w:r>
            <w:r w:rsidR="00E728F6">
              <w:rPr>
                <w:noProof/>
                <w:webHidden/>
              </w:rPr>
              <w:fldChar w:fldCharType="begin"/>
            </w:r>
            <w:r w:rsidR="00E728F6">
              <w:rPr>
                <w:noProof/>
                <w:webHidden/>
              </w:rPr>
              <w:instrText xml:space="preserve"> PAGEREF _Toc411525489 \h </w:instrText>
            </w:r>
            <w:r w:rsidR="00E728F6">
              <w:rPr>
                <w:noProof/>
                <w:webHidden/>
              </w:rPr>
            </w:r>
            <w:r w:rsidR="00E728F6">
              <w:rPr>
                <w:noProof/>
                <w:webHidden/>
              </w:rPr>
              <w:fldChar w:fldCharType="separate"/>
            </w:r>
            <w:r w:rsidR="00E728F6">
              <w:rPr>
                <w:noProof/>
                <w:webHidden/>
              </w:rPr>
              <w:t>45</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0" w:history="1">
            <w:r w:rsidR="00E728F6" w:rsidRPr="004671B2">
              <w:rPr>
                <w:rStyle w:val="Hyperlink"/>
                <w:noProof/>
              </w:rPr>
              <w:t>Reduce the impact of unsafe abortion</w:t>
            </w:r>
            <w:r w:rsidR="00E728F6">
              <w:rPr>
                <w:noProof/>
                <w:webHidden/>
              </w:rPr>
              <w:tab/>
            </w:r>
            <w:r w:rsidR="00E728F6">
              <w:rPr>
                <w:noProof/>
                <w:webHidden/>
              </w:rPr>
              <w:fldChar w:fldCharType="begin"/>
            </w:r>
            <w:r w:rsidR="00E728F6">
              <w:rPr>
                <w:noProof/>
                <w:webHidden/>
              </w:rPr>
              <w:instrText xml:space="preserve"> PAGEREF _Toc411525490 \h </w:instrText>
            </w:r>
            <w:r w:rsidR="00E728F6">
              <w:rPr>
                <w:noProof/>
                <w:webHidden/>
              </w:rPr>
            </w:r>
            <w:r w:rsidR="00E728F6">
              <w:rPr>
                <w:noProof/>
                <w:webHidden/>
              </w:rPr>
              <w:fldChar w:fldCharType="separate"/>
            </w:r>
            <w:r w:rsidR="00E728F6">
              <w:rPr>
                <w:noProof/>
                <w:webHidden/>
              </w:rPr>
              <w:t>45</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1" w:history="1">
            <w:r w:rsidR="00E728F6" w:rsidRPr="004671B2">
              <w:rPr>
                <w:rStyle w:val="Hyperlink"/>
                <w:noProof/>
              </w:rPr>
              <w:t>Prevention and Treatment of Postpartum Haemorrhage</w:t>
            </w:r>
            <w:r w:rsidR="00E728F6">
              <w:rPr>
                <w:noProof/>
                <w:webHidden/>
              </w:rPr>
              <w:tab/>
            </w:r>
            <w:r w:rsidR="00E728F6">
              <w:rPr>
                <w:noProof/>
                <w:webHidden/>
              </w:rPr>
              <w:fldChar w:fldCharType="begin"/>
            </w:r>
            <w:r w:rsidR="00E728F6">
              <w:rPr>
                <w:noProof/>
                <w:webHidden/>
              </w:rPr>
              <w:instrText xml:space="preserve"> PAGEREF _Toc411525491 \h </w:instrText>
            </w:r>
            <w:r w:rsidR="00E728F6">
              <w:rPr>
                <w:noProof/>
                <w:webHidden/>
              </w:rPr>
            </w:r>
            <w:r w:rsidR="00E728F6">
              <w:rPr>
                <w:noProof/>
                <w:webHidden/>
              </w:rPr>
              <w:fldChar w:fldCharType="separate"/>
            </w:r>
            <w:r w:rsidR="00E728F6">
              <w:rPr>
                <w:noProof/>
                <w:webHidden/>
              </w:rPr>
              <w:t>46</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2" w:history="1">
            <w:r w:rsidR="00E728F6" w:rsidRPr="004671B2">
              <w:rPr>
                <w:rStyle w:val="Hyperlink"/>
                <w:noProof/>
              </w:rPr>
              <w:t>Intrapartum Interventions: Obstetric Care</w:t>
            </w:r>
            <w:r w:rsidR="00E728F6">
              <w:rPr>
                <w:noProof/>
                <w:webHidden/>
              </w:rPr>
              <w:tab/>
            </w:r>
            <w:r w:rsidR="00E728F6">
              <w:rPr>
                <w:noProof/>
                <w:webHidden/>
              </w:rPr>
              <w:fldChar w:fldCharType="begin"/>
            </w:r>
            <w:r w:rsidR="00E728F6">
              <w:rPr>
                <w:noProof/>
                <w:webHidden/>
              </w:rPr>
              <w:instrText xml:space="preserve"> PAGEREF _Toc411525492 \h </w:instrText>
            </w:r>
            <w:r w:rsidR="00E728F6">
              <w:rPr>
                <w:noProof/>
                <w:webHidden/>
              </w:rPr>
            </w:r>
            <w:r w:rsidR="00E728F6">
              <w:rPr>
                <w:noProof/>
                <w:webHidden/>
              </w:rPr>
              <w:fldChar w:fldCharType="separate"/>
            </w:r>
            <w:r w:rsidR="00E728F6">
              <w:rPr>
                <w:noProof/>
                <w:webHidden/>
              </w:rPr>
              <w:t>46</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3" w:history="1">
            <w:r w:rsidR="00E728F6" w:rsidRPr="004671B2">
              <w:rPr>
                <w:rStyle w:val="Hyperlink"/>
                <w:noProof/>
              </w:rPr>
              <w:t>Intrapartum Interventions: Neonatal Care</w:t>
            </w:r>
            <w:r w:rsidR="00E728F6">
              <w:rPr>
                <w:noProof/>
                <w:webHidden/>
              </w:rPr>
              <w:tab/>
            </w:r>
            <w:r w:rsidR="00E728F6">
              <w:rPr>
                <w:noProof/>
                <w:webHidden/>
              </w:rPr>
              <w:fldChar w:fldCharType="begin"/>
            </w:r>
            <w:r w:rsidR="00E728F6">
              <w:rPr>
                <w:noProof/>
                <w:webHidden/>
              </w:rPr>
              <w:instrText xml:space="preserve"> PAGEREF _Toc411525493 \h </w:instrText>
            </w:r>
            <w:r w:rsidR="00E728F6">
              <w:rPr>
                <w:noProof/>
                <w:webHidden/>
              </w:rPr>
            </w:r>
            <w:r w:rsidR="00E728F6">
              <w:rPr>
                <w:noProof/>
                <w:webHidden/>
              </w:rPr>
              <w:fldChar w:fldCharType="separate"/>
            </w:r>
            <w:r w:rsidR="00E728F6">
              <w:rPr>
                <w:noProof/>
                <w:webHidden/>
              </w:rPr>
              <w:t>47</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4" w:history="1">
            <w:r w:rsidR="00E728F6" w:rsidRPr="004671B2">
              <w:rPr>
                <w:rStyle w:val="Hyperlink"/>
                <w:noProof/>
              </w:rPr>
              <w:t>Postpartum Maternal and Neonatal Interventions</w:t>
            </w:r>
            <w:r w:rsidR="00E728F6">
              <w:rPr>
                <w:noProof/>
                <w:webHidden/>
              </w:rPr>
              <w:tab/>
            </w:r>
            <w:r w:rsidR="00E728F6">
              <w:rPr>
                <w:noProof/>
                <w:webHidden/>
              </w:rPr>
              <w:fldChar w:fldCharType="begin"/>
            </w:r>
            <w:r w:rsidR="00E728F6">
              <w:rPr>
                <w:noProof/>
                <w:webHidden/>
              </w:rPr>
              <w:instrText xml:space="preserve"> PAGEREF _Toc411525494 \h </w:instrText>
            </w:r>
            <w:r w:rsidR="00E728F6">
              <w:rPr>
                <w:noProof/>
                <w:webHidden/>
              </w:rPr>
            </w:r>
            <w:r w:rsidR="00E728F6">
              <w:rPr>
                <w:noProof/>
                <w:webHidden/>
              </w:rPr>
              <w:fldChar w:fldCharType="separate"/>
            </w:r>
            <w:r w:rsidR="00E728F6">
              <w:rPr>
                <w:noProof/>
                <w:webHidden/>
              </w:rPr>
              <w:t>47</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5" w:history="1">
            <w:r w:rsidR="00E728F6" w:rsidRPr="004671B2">
              <w:rPr>
                <w:rStyle w:val="Hyperlink"/>
                <w:noProof/>
              </w:rPr>
              <w:t>Maternal Death Surveillance and Response</w:t>
            </w:r>
            <w:r w:rsidR="00E728F6">
              <w:rPr>
                <w:noProof/>
                <w:webHidden/>
              </w:rPr>
              <w:tab/>
            </w:r>
            <w:r w:rsidR="00E728F6">
              <w:rPr>
                <w:noProof/>
                <w:webHidden/>
              </w:rPr>
              <w:fldChar w:fldCharType="begin"/>
            </w:r>
            <w:r w:rsidR="00E728F6">
              <w:rPr>
                <w:noProof/>
                <w:webHidden/>
              </w:rPr>
              <w:instrText xml:space="preserve"> PAGEREF _Toc411525495 \h </w:instrText>
            </w:r>
            <w:r w:rsidR="00E728F6">
              <w:rPr>
                <w:noProof/>
                <w:webHidden/>
              </w:rPr>
            </w:r>
            <w:r w:rsidR="00E728F6">
              <w:rPr>
                <w:noProof/>
                <w:webHidden/>
              </w:rPr>
              <w:fldChar w:fldCharType="separate"/>
            </w:r>
            <w:r w:rsidR="00E728F6">
              <w:rPr>
                <w:noProof/>
                <w:webHidden/>
              </w:rPr>
              <w:t>48</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6" w:history="1">
            <w:r w:rsidR="00E728F6" w:rsidRPr="004671B2">
              <w:rPr>
                <w:rStyle w:val="Hyperlink"/>
                <w:noProof/>
              </w:rPr>
              <w:t>Immunisation</w:t>
            </w:r>
            <w:r w:rsidR="00E728F6">
              <w:rPr>
                <w:noProof/>
                <w:webHidden/>
              </w:rPr>
              <w:tab/>
            </w:r>
            <w:r w:rsidR="00E728F6">
              <w:rPr>
                <w:noProof/>
                <w:webHidden/>
              </w:rPr>
              <w:fldChar w:fldCharType="begin"/>
            </w:r>
            <w:r w:rsidR="00E728F6">
              <w:rPr>
                <w:noProof/>
                <w:webHidden/>
              </w:rPr>
              <w:instrText xml:space="preserve"> PAGEREF _Toc411525496 \h </w:instrText>
            </w:r>
            <w:r w:rsidR="00E728F6">
              <w:rPr>
                <w:noProof/>
                <w:webHidden/>
              </w:rPr>
            </w:r>
            <w:r w:rsidR="00E728F6">
              <w:rPr>
                <w:noProof/>
                <w:webHidden/>
              </w:rPr>
              <w:fldChar w:fldCharType="separate"/>
            </w:r>
            <w:r w:rsidR="00E728F6">
              <w:rPr>
                <w:noProof/>
                <w:webHidden/>
              </w:rPr>
              <w:t>48</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497" w:history="1">
            <w:r w:rsidR="00E728F6" w:rsidRPr="004671B2">
              <w:rPr>
                <w:rStyle w:val="Hyperlink"/>
                <w:noProof/>
              </w:rPr>
              <w:t>Nutrition</w:t>
            </w:r>
            <w:r w:rsidR="00E728F6">
              <w:rPr>
                <w:noProof/>
                <w:webHidden/>
              </w:rPr>
              <w:tab/>
            </w:r>
            <w:r w:rsidR="00E728F6">
              <w:rPr>
                <w:noProof/>
                <w:webHidden/>
              </w:rPr>
              <w:fldChar w:fldCharType="begin"/>
            </w:r>
            <w:r w:rsidR="00E728F6">
              <w:rPr>
                <w:noProof/>
                <w:webHidden/>
              </w:rPr>
              <w:instrText xml:space="preserve"> PAGEREF _Toc411525497 \h </w:instrText>
            </w:r>
            <w:r w:rsidR="00E728F6">
              <w:rPr>
                <w:noProof/>
                <w:webHidden/>
              </w:rPr>
            </w:r>
            <w:r w:rsidR="00E728F6">
              <w:rPr>
                <w:noProof/>
                <w:webHidden/>
              </w:rPr>
              <w:fldChar w:fldCharType="separate"/>
            </w:r>
            <w:r w:rsidR="00E728F6">
              <w:rPr>
                <w:noProof/>
                <w:webHidden/>
              </w:rPr>
              <w:t>48</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98" w:history="1">
            <w:r w:rsidR="00E728F6" w:rsidRPr="004671B2">
              <w:rPr>
                <w:rStyle w:val="Hyperlink"/>
                <w:noProof/>
              </w:rPr>
              <w:t>Post 2015 Agenda and Maternal, Newborn and Child Health</w:t>
            </w:r>
            <w:r w:rsidR="00E728F6">
              <w:rPr>
                <w:noProof/>
                <w:webHidden/>
              </w:rPr>
              <w:tab/>
            </w:r>
            <w:r w:rsidR="00E728F6">
              <w:rPr>
                <w:noProof/>
                <w:webHidden/>
              </w:rPr>
              <w:fldChar w:fldCharType="begin"/>
            </w:r>
            <w:r w:rsidR="00E728F6">
              <w:rPr>
                <w:noProof/>
                <w:webHidden/>
              </w:rPr>
              <w:instrText xml:space="preserve"> PAGEREF _Toc411525498 \h </w:instrText>
            </w:r>
            <w:r w:rsidR="00E728F6">
              <w:rPr>
                <w:noProof/>
                <w:webHidden/>
              </w:rPr>
            </w:r>
            <w:r w:rsidR="00E728F6">
              <w:rPr>
                <w:noProof/>
                <w:webHidden/>
              </w:rPr>
              <w:fldChar w:fldCharType="separate"/>
            </w:r>
            <w:r w:rsidR="00E728F6">
              <w:rPr>
                <w:noProof/>
                <w:webHidden/>
              </w:rPr>
              <w:t>53</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499" w:history="1">
            <w:r w:rsidR="00E728F6" w:rsidRPr="004671B2">
              <w:rPr>
                <w:rStyle w:val="Hyperlink"/>
                <w:noProof/>
              </w:rPr>
              <w:t>Opportunities and Recommendations for Maternal Newborn and Child Health</w:t>
            </w:r>
            <w:r w:rsidR="00E728F6">
              <w:rPr>
                <w:noProof/>
                <w:webHidden/>
              </w:rPr>
              <w:tab/>
            </w:r>
            <w:r w:rsidR="00E728F6">
              <w:rPr>
                <w:noProof/>
                <w:webHidden/>
              </w:rPr>
              <w:fldChar w:fldCharType="begin"/>
            </w:r>
            <w:r w:rsidR="00E728F6">
              <w:rPr>
                <w:noProof/>
                <w:webHidden/>
              </w:rPr>
              <w:instrText xml:space="preserve"> PAGEREF _Toc411525499 \h </w:instrText>
            </w:r>
            <w:r w:rsidR="00E728F6">
              <w:rPr>
                <w:noProof/>
                <w:webHidden/>
              </w:rPr>
            </w:r>
            <w:r w:rsidR="00E728F6">
              <w:rPr>
                <w:noProof/>
                <w:webHidden/>
              </w:rPr>
              <w:fldChar w:fldCharType="separate"/>
            </w:r>
            <w:r w:rsidR="00E728F6">
              <w:rPr>
                <w:noProof/>
                <w:webHidden/>
              </w:rPr>
              <w:t>55</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500" w:history="1">
            <w:r w:rsidR="00E728F6" w:rsidRPr="004671B2">
              <w:rPr>
                <w:rStyle w:val="Hyperlink"/>
                <w:noProof/>
              </w:rPr>
              <w:t>Opportunities</w:t>
            </w:r>
            <w:r w:rsidR="00E728F6">
              <w:rPr>
                <w:noProof/>
                <w:webHidden/>
              </w:rPr>
              <w:tab/>
            </w:r>
            <w:r w:rsidR="00E728F6">
              <w:rPr>
                <w:noProof/>
                <w:webHidden/>
              </w:rPr>
              <w:fldChar w:fldCharType="begin"/>
            </w:r>
            <w:r w:rsidR="00E728F6">
              <w:rPr>
                <w:noProof/>
                <w:webHidden/>
              </w:rPr>
              <w:instrText xml:space="preserve"> PAGEREF _Toc411525500 \h </w:instrText>
            </w:r>
            <w:r w:rsidR="00E728F6">
              <w:rPr>
                <w:noProof/>
                <w:webHidden/>
              </w:rPr>
            </w:r>
            <w:r w:rsidR="00E728F6">
              <w:rPr>
                <w:noProof/>
                <w:webHidden/>
              </w:rPr>
              <w:fldChar w:fldCharType="separate"/>
            </w:r>
            <w:r w:rsidR="00E728F6">
              <w:rPr>
                <w:noProof/>
                <w:webHidden/>
              </w:rPr>
              <w:t>55</w:t>
            </w:r>
            <w:r w:rsidR="00E728F6">
              <w:rPr>
                <w:noProof/>
                <w:webHidden/>
              </w:rPr>
              <w:fldChar w:fldCharType="end"/>
            </w:r>
          </w:hyperlink>
        </w:p>
        <w:p w:rsidR="00E728F6" w:rsidRDefault="00A30A32">
          <w:pPr>
            <w:pStyle w:val="TOC2"/>
            <w:tabs>
              <w:tab w:val="right" w:leader="dot" w:pos="9060"/>
            </w:tabs>
            <w:rPr>
              <w:rFonts w:eastAsiaTheme="minorEastAsia"/>
              <w:noProof/>
              <w:lang w:eastAsia="en-GB"/>
            </w:rPr>
          </w:pPr>
          <w:hyperlink w:anchor="_Toc411525501" w:history="1">
            <w:r w:rsidR="00E728F6" w:rsidRPr="004671B2">
              <w:rPr>
                <w:rStyle w:val="Hyperlink"/>
                <w:noProof/>
              </w:rPr>
              <w:t>Recommendations</w:t>
            </w:r>
            <w:r w:rsidR="00E728F6">
              <w:rPr>
                <w:noProof/>
                <w:webHidden/>
              </w:rPr>
              <w:tab/>
            </w:r>
            <w:r w:rsidR="00E728F6">
              <w:rPr>
                <w:noProof/>
                <w:webHidden/>
              </w:rPr>
              <w:fldChar w:fldCharType="begin"/>
            </w:r>
            <w:r w:rsidR="00E728F6">
              <w:rPr>
                <w:noProof/>
                <w:webHidden/>
              </w:rPr>
              <w:instrText xml:space="preserve"> PAGEREF _Toc411525501 \h </w:instrText>
            </w:r>
            <w:r w:rsidR="00E728F6">
              <w:rPr>
                <w:noProof/>
                <w:webHidden/>
              </w:rPr>
            </w:r>
            <w:r w:rsidR="00E728F6">
              <w:rPr>
                <w:noProof/>
                <w:webHidden/>
              </w:rPr>
              <w:fldChar w:fldCharType="separate"/>
            </w:r>
            <w:r w:rsidR="00E728F6">
              <w:rPr>
                <w:noProof/>
                <w:webHidden/>
              </w:rPr>
              <w:t>57</w:t>
            </w:r>
            <w:r w:rsidR="00E728F6">
              <w:rPr>
                <w:noProof/>
                <w:webHidden/>
              </w:rPr>
              <w:fldChar w:fldCharType="end"/>
            </w:r>
          </w:hyperlink>
        </w:p>
        <w:p w:rsidR="00E728F6" w:rsidRDefault="00A30A32">
          <w:pPr>
            <w:pStyle w:val="TOC3"/>
            <w:tabs>
              <w:tab w:val="right" w:leader="dot" w:pos="9060"/>
            </w:tabs>
            <w:rPr>
              <w:rFonts w:eastAsiaTheme="minorEastAsia"/>
              <w:noProof/>
              <w:lang w:eastAsia="en-GB"/>
            </w:rPr>
          </w:pPr>
          <w:hyperlink w:anchor="_Toc411525502" w:history="1">
            <w:r w:rsidR="00E728F6" w:rsidRPr="004671B2">
              <w:rPr>
                <w:rStyle w:val="Hyperlink"/>
                <w:noProof/>
              </w:rPr>
              <w:t>Specific Recommendations</w:t>
            </w:r>
            <w:r w:rsidR="00E728F6">
              <w:rPr>
                <w:noProof/>
                <w:webHidden/>
              </w:rPr>
              <w:tab/>
            </w:r>
            <w:r w:rsidR="00E728F6">
              <w:rPr>
                <w:noProof/>
                <w:webHidden/>
              </w:rPr>
              <w:fldChar w:fldCharType="begin"/>
            </w:r>
            <w:r w:rsidR="00E728F6">
              <w:rPr>
                <w:noProof/>
                <w:webHidden/>
              </w:rPr>
              <w:instrText xml:space="preserve"> PAGEREF _Toc411525502 \h </w:instrText>
            </w:r>
            <w:r w:rsidR="00E728F6">
              <w:rPr>
                <w:noProof/>
                <w:webHidden/>
              </w:rPr>
            </w:r>
            <w:r w:rsidR="00E728F6">
              <w:rPr>
                <w:noProof/>
                <w:webHidden/>
              </w:rPr>
              <w:fldChar w:fldCharType="separate"/>
            </w:r>
            <w:r w:rsidR="00E728F6">
              <w:rPr>
                <w:noProof/>
                <w:webHidden/>
              </w:rPr>
              <w:t>59</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503" w:history="1">
            <w:r w:rsidR="00E728F6" w:rsidRPr="004671B2">
              <w:rPr>
                <w:rStyle w:val="Hyperlink"/>
                <w:noProof/>
              </w:rPr>
              <w:t>Bibliography</w:t>
            </w:r>
            <w:r w:rsidR="00E728F6">
              <w:rPr>
                <w:noProof/>
                <w:webHidden/>
              </w:rPr>
              <w:tab/>
            </w:r>
            <w:r w:rsidR="00E728F6">
              <w:rPr>
                <w:noProof/>
                <w:webHidden/>
              </w:rPr>
              <w:fldChar w:fldCharType="begin"/>
            </w:r>
            <w:r w:rsidR="00E728F6">
              <w:rPr>
                <w:noProof/>
                <w:webHidden/>
              </w:rPr>
              <w:instrText xml:space="preserve"> PAGEREF _Toc411525503 \h </w:instrText>
            </w:r>
            <w:r w:rsidR="00E728F6">
              <w:rPr>
                <w:noProof/>
                <w:webHidden/>
              </w:rPr>
            </w:r>
            <w:r w:rsidR="00E728F6">
              <w:rPr>
                <w:noProof/>
                <w:webHidden/>
              </w:rPr>
              <w:fldChar w:fldCharType="separate"/>
            </w:r>
            <w:r w:rsidR="00E728F6">
              <w:rPr>
                <w:noProof/>
                <w:webHidden/>
              </w:rPr>
              <w:t>63</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504" w:history="1">
            <w:r w:rsidR="00E728F6" w:rsidRPr="004671B2">
              <w:rPr>
                <w:rStyle w:val="Hyperlink"/>
                <w:noProof/>
              </w:rPr>
              <w:t>Appendices</w:t>
            </w:r>
            <w:r w:rsidR="00E728F6">
              <w:rPr>
                <w:noProof/>
                <w:webHidden/>
              </w:rPr>
              <w:tab/>
            </w:r>
            <w:r w:rsidR="00E728F6">
              <w:rPr>
                <w:noProof/>
                <w:webHidden/>
              </w:rPr>
              <w:fldChar w:fldCharType="begin"/>
            </w:r>
            <w:r w:rsidR="00E728F6">
              <w:rPr>
                <w:noProof/>
                <w:webHidden/>
              </w:rPr>
              <w:instrText xml:space="preserve"> PAGEREF _Toc411525504 \h </w:instrText>
            </w:r>
            <w:r w:rsidR="00E728F6">
              <w:rPr>
                <w:noProof/>
                <w:webHidden/>
              </w:rPr>
            </w:r>
            <w:r w:rsidR="00E728F6">
              <w:rPr>
                <w:noProof/>
                <w:webHidden/>
              </w:rPr>
              <w:fldChar w:fldCharType="separate"/>
            </w:r>
            <w:r w:rsidR="00E728F6">
              <w:rPr>
                <w:noProof/>
                <w:webHidden/>
              </w:rPr>
              <w:t>66</w:t>
            </w:r>
            <w:r w:rsidR="00E728F6">
              <w:rPr>
                <w:noProof/>
                <w:webHidden/>
              </w:rPr>
              <w:fldChar w:fldCharType="end"/>
            </w:r>
          </w:hyperlink>
        </w:p>
        <w:p w:rsidR="00E728F6" w:rsidRDefault="00A30A32">
          <w:pPr>
            <w:pStyle w:val="TOC1"/>
            <w:tabs>
              <w:tab w:val="right" w:leader="dot" w:pos="9060"/>
            </w:tabs>
            <w:rPr>
              <w:rFonts w:eastAsiaTheme="minorEastAsia"/>
              <w:noProof/>
              <w:lang w:eastAsia="en-GB"/>
            </w:rPr>
          </w:pPr>
          <w:hyperlink w:anchor="_Toc411525505" w:history="1">
            <w:r w:rsidR="00E728F6" w:rsidRPr="004671B2">
              <w:rPr>
                <w:rStyle w:val="Hyperlink"/>
                <w:noProof/>
              </w:rPr>
              <w:t>Appendix 1: All Country MNCH Score Sheet</w:t>
            </w:r>
            <w:r w:rsidR="00E728F6">
              <w:rPr>
                <w:noProof/>
                <w:webHidden/>
              </w:rPr>
              <w:tab/>
            </w:r>
            <w:r w:rsidR="00E728F6">
              <w:rPr>
                <w:noProof/>
                <w:webHidden/>
              </w:rPr>
              <w:fldChar w:fldCharType="begin"/>
            </w:r>
            <w:r w:rsidR="00E728F6">
              <w:rPr>
                <w:noProof/>
                <w:webHidden/>
              </w:rPr>
              <w:instrText xml:space="preserve"> PAGEREF _Toc411525505 \h </w:instrText>
            </w:r>
            <w:r w:rsidR="00E728F6">
              <w:rPr>
                <w:noProof/>
                <w:webHidden/>
              </w:rPr>
            </w:r>
            <w:r w:rsidR="00E728F6">
              <w:rPr>
                <w:noProof/>
                <w:webHidden/>
              </w:rPr>
              <w:fldChar w:fldCharType="separate"/>
            </w:r>
            <w:r w:rsidR="00E728F6">
              <w:rPr>
                <w:noProof/>
                <w:webHidden/>
              </w:rPr>
              <w:t>67</w:t>
            </w:r>
            <w:r w:rsidR="00E728F6">
              <w:rPr>
                <w:noProof/>
                <w:webHidden/>
              </w:rPr>
              <w:fldChar w:fldCharType="end"/>
            </w:r>
          </w:hyperlink>
        </w:p>
        <w:p w:rsidR="005C738B" w:rsidRDefault="00373FF7">
          <w:pPr>
            <w:rPr>
              <w:noProof/>
            </w:rPr>
          </w:pPr>
          <w:r>
            <w:rPr>
              <w:b/>
              <w:bCs/>
              <w:noProof/>
            </w:rPr>
            <w:fldChar w:fldCharType="end"/>
          </w:r>
        </w:p>
      </w:sdtContent>
    </w:sdt>
    <w:p w:rsidR="009B36C1" w:rsidRPr="00201C1A" w:rsidRDefault="009B36C1">
      <w:r w:rsidRPr="00201C1A">
        <w:t>Tables</w:t>
      </w:r>
    </w:p>
    <w:p w:rsidR="00D42E48" w:rsidRDefault="00373FF7">
      <w:pPr>
        <w:pStyle w:val="TableofFigures"/>
        <w:tabs>
          <w:tab w:val="right" w:leader="dot" w:pos="9060"/>
        </w:tabs>
        <w:rPr>
          <w:rFonts w:eastAsiaTheme="minorEastAsia"/>
          <w:noProof/>
          <w:lang w:eastAsia="en-GB"/>
        </w:rPr>
      </w:pPr>
      <w:r>
        <w:fldChar w:fldCharType="begin"/>
      </w:r>
      <w:r w:rsidR="009B36C1">
        <w:instrText xml:space="preserve"> TOC \h \z \c "Table" </w:instrText>
      </w:r>
      <w:r>
        <w:fldChar w:fldCharType="separate"/>
      </w:r>
      <w:hyperlink w:anchor="_Toc411525268" w:history="1">
        <w:r w:rsidR="00D42E48" w:rsidRPr="00613A88">
          <w:rPr>
            <w:rStyle w:val="Hyperlink"/>
            <w:noProof/>
          </w:rPr>
          <w:t>Table 1: Progress against MDGs</w:t>
        </w:r>
        <w:r w:rsidR="00D42E48">
          <w:rPr>
            <w:noProof/>
            <w:webHidden/>
          </w:rPr>
          <w:tab/>
        </w:r>
        <w:r w:rsidR="00D42E48">
          <w:rPr>
            <w:noProof/>
            <w:webHidden/>
          </w:rPr>
          <w:fldChar w:fldCharType="begin"/>
        </w:r>
        <w:r w:rsidR="00D42E48">
          <w:rPr>
            <w:noProof/>
            <w:webHidden/>
          </w:rPr>
          <w:instrText xml:space="preserve"> PAGEREF _Toc411525268 \h </w:instrText>
        </w:r>
        <w:r w:rsidR="00D42E48">
          <w:rPr>
            <w:noProof/>
            <w:webHidden/>
          </w:rPr>
        </w:r>
        <w:r w:rsidR="00D42E48">
          <w:rPr>
            <w:noProof/>
            <w:webHidden/>
          </w:rPr>
          <w:fldChar w:fldCharType="separate"/>
        </w:r>
        <w:r w:rsidR="00D42E48">
          <w:rPr>
            <w:noProof/>
            <w:webHidden/>
          </w:rPr>
          <w:t>12</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69" w:history="1">
        <w:r w:rsidR="00D42E48" w:rsidRPr="00613A88">
          <w:rPr>
            <w:rStyle w:val="Hyperlink"/>
            <w:noProof/>
          </w:rPr>
          <w:t>Table 2: Percentage Reduction of Under Five mortality from 1990 baseline</w:t>
        </w:r>
        <w:r w:rsidR="00D42E48">
          <w:rPr>
            <w:noProof/>
            <w:webHidden/>
          </w:rPr>
          <w:tab/>
        </w:r>
        <w:r w:rsidR="00D42E48">
          <w:rPr>
            <w:noProof/>
            <w:webHidden/>
          </w:rPr>
          <w:fldChar w:fldCharType="begin"/>
        </w:r>
        <w:r w:rsidR="00D42E48">
          <w:rPr>
            <w:noProof/>
            <w:webHidden/>
          </w:rPr>
          <w:instrText xml:space="preserve"> PAGEREF _Toc411525269 \h </w:instrText>
        </w:r>
        <w:r w:rsidR="00D42E48">
          <w:rPr>
            <w:noProof/>
            <w:webHidden/>
          </w:rPr>
        </w:r>
        <w:r w:rsidR="00D42E48">
          <w:rPr>
            <w:noProof/>
            <w:webHidden/>
          </w:rPr>
          <w:fldChar w:fldCharType="separate"/>
        </w:r>
        <w:r w:rsidR="00D42E48">
          <w:rPr>
            <w:noProof/>
            <w:webHidden/>
          </w:rPr>
          <w:t>13</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70" w:history="1">
        <w:r w:rsidR="00D42E48" w:rsidRPr="00613A88">
          <w:rPr>
            <w:rStyle w:val="Hyperlink"/>
            <w:noProof/>
          </w:rPr>
          <w:t>Table 3: Percentage of Children vaccinated with DPT</w:t>
        </w:r>
        <w:r w:rsidR="00D42E48">
          <w:rPr>
            <w:noProof/>
            <w:webHidden/>
          </w:rPr>
          <w:tab/>
        </w:r>
        <w:r w:rsidR="00D42E48">
          <w:rPr>
            <w:noProof/>
            <w:webHidden/>
          </w:rPr>
          <w:fldChar w:fldCharType="begin"/>
        </w:r>
        <w:r w:rsidR="00D42E48">
          <w:rPr>
            <w:noProof/>
            <w:webHidden/>
          </w:rPr>
          <w:instrText xml:space="preserve"> PAGEREF _Toc411525270 \h </w:instrText>
        </w:r>
        <w:r w:rsidR="00D42E48">
          <w:rPr>
            <w:noProof/>
            <w:webHidden/>
          </w:rPr>
        </w:r>
        <w:r w:rsidR="00D42E48">
          <w:rPr>
            <w:noProof/>
            <w:webHidden/>
          </w:rPr>
          <w:fldChar w:fldCharType="separate"/>
        </w:r>
        <w:r w:rsidR="00D42E48">
          <w:rPr>
            <w:noProof/>
            <w:webHidden/>
          </w:rPr>
          <w:t>19</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71" w:history="1">
        <w:r w:rsidR="00D42E48" w:rsidRPr="00613A88">
          <w:rPr>
            <w:rStyle w:val="Hyperlink"/>
            <w:noProof/>
          </w:rPr>
          <w:t>Table 4: Percentage Reduction of MMR from 1990</w:t>
        </w:r>
        <w:r w:rsidR="00D42E48">
          <w:rPr>
            <w:noProof/>
            <w:webHidden/>
          </w:rPr>
          <w:tab/>
        </w:r>
        <w:r w:rsidR="00D42E48">
          <w:rPr>
            <w:noProof/>
            <w:webHidden/>
          </w:rPr>
          <w:fldChar w:fldCharType="begin"/>
        </w:r>
        <w:r w:rsidR="00D42E48">
          <w:rPr>
            <w:noProof/>
            <w:webHidden/>
          </w:rPr>
          <w:instrText xml:space="preserve"> PAGEREF _Toc411525271 \h </w:instrText>
        </w:r>
        <w:r w:rsidR="00D42E48">
          <w:rPr>
            <w:noProof/>
            <w:webHidden/>
          </w:rPr>
        </w:r>
        <w:r w:rsidR="00D42E48">
          <w:rPr>
            <w:noProof/>
            <w:webHidden/>
          </w:rPr>
          <w:fldChar w:fldCharType="separate"/>
        </w:r>
        <w:r w:rsidR="00D42E48">
          <w:rPr>
            <w:noProof/>
            <w:webHidden/>
          </w:rPr>
          <w:t>27</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72" w:history="1">
        <w:r w:rsidR="00D42E48" w:rsidRPr="00613A88">
          <w:rPr>
            <w:rStyle w:val="Hyperlink"/>
            <w:noProof/>
          </w:rPr>
          <w:t>Table 5: Percentage Decline in MTCT</w:t>
        </w:r>
        <w:r w:rsidR="00D42E48">
          <w:rPr>
            <w:noProof/>
            <w:webHidden/>
          </w:rPr>
          <w:tab/>
        </w:r>
        <w:r w:rsidR="00D42E48">
          <w:rPr>
            <w:noProof/>
            <w:webHidden/>
          </w:rPr>
          <w:fldChar w:fldCharType="begin"/>
        </w:r>
        <w:r w:rsidR="00D42E48">
          <w:rPr>
            <w:noProof/>
            <w:webHidden/>
          </w:rPr>
          <w:instrText xml:space="preserve"> PAGEREF _Toc411525272 \h </w:instrText>
        </w:r>
        <w:r w:rsidR="00D42E48">
          <w:rPr>
            <w:noProof/>
            <w:webHidden/>
          </w:rPr>
        </w:r>
        <w:r w:rsidR="00D42E48">
          <w:rPr>
            <w:noProof/>
            <w:webHidden/>
          </w:rPr>
          <w:fldChar w:fldCharType="separate"/>
        </w:r>
        <w:r w:rsidR="00D42E48">
          <w:rPr>
            <w:noProof/>
            <w:webHidden/>
          </w:rPr>
          <w:t>34</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73" w:history="1">
        <w:r w:rsidR="00D42E48" w:rsidRPr="00613A88">
          <w:rPr>
            <w:rStyle w:val="Hyperlink"/>
            <w:noProof/>
          </w:rPr>
          <w:t>Table 6: Low Cost, High Impact Interventions in MNCH</w:t>
        </w:r>
        <w:r w:rsidR="00D42E48">
          <w:rPr>
            <w:noProof/>
            <w:webHidden/>
          </w:rPr>
          <w:tab/>
        </w:r>
        <w:r w:rsidR="00D42E48">
          <w:rPr>
            <w:noProof/>
            <w:webHidden/>
          </w:rPr>
          <w:fldChar w:fldCharType="begin"/>
        </w:r>
        <w:r w:rsidR="00D42E48">
          <w:rPr>
            <w:noProof/>
            <w:webHidden/>
          </w:rPr>
          <w:instrText xml:space="preserve"> PAGEREF _Toc411525273 \h </w:instrText>
        </w:r>
        <w:r w:rsidR="00D42E48">
          <w:rPr>
            <w:noProof/>
            <w:webHidden/>
          </w:rPr>
        </w:r>
        <w:r w:rsidR="00D42E48">
          <w:rPr>
            <w:noProof/>
            <w:webHidden/>
          </w:rPr>
          <w:fldChar w:fldCharType="separate"/>
        </w:r>
        <w:r w:rsidR="00D42E48">
          <w:rPr>
            <w:noProof/>
            <w:webHidden/>
          </w:rPr>
          <w:t>42</w:t>
        </w:r>
        <w:r w:rsidR="00D42E48">
          <w:rPr>
            <w:noProof/>
            <w:webHidden/>
          </w:rPr>
          <w:fldChar w:fldCharType="end"/>
        </w:r>
      </w:hyperlink>
    </w:p>
    <w:p w:rsidR="009B36C1" w:rsidRDefault="00373FF7">
      <w:r>
        <w:fldChar w:fldCharType="end"/>
      </w:r>
    </w:p>
    <w:p w:rsidR="009B36C1" w:rsidRDefault="009B36C1" w:rsidP="00201C1A">
      <w:pPr>
        <w:pStyle w:val="TableofFigures"/>
        <w:tabs>
          <w:tab w:val="right" w:leader="dot" w:pos="9060"/>
        </w:tabs>
      </w:pPr>
      <w:r>
        <w:t>Graphs</w:t>
      </w:r>
    </w:p>
    <w:p w:rsidR="00D42E48" w:rsidRDefault="00373FF7">
      <w:pPr>
        <w:pStyle w:val="TableofFigures"/>
        <w:tabs>
          <w:tab w:val="right" w:leader="dot" w:pos="9060"/>
        </w:tabs>
        <w:rPr>
          <w:rFonts w:eastAsiaTheme="minorEastAsia"/>
          <w:noProof/>
          <w:lang w:eastAsia="en-GB"/>
        </w:rPr>
      </w:pPr>
      <w:r>
        <w:fldChar w:fldCharType="begin"/>
      </w:r>
      <w:r w:rsidR="009B36C1">
        <w:instrText xml:space="preserve"> TOC \h \z \c "Graph" </w:instrText>
      </w:r>
      <w:r>
        <w:fldChar w:fldCharType="separate"/>
      </w:r>
      <w:hyperlink w:anchor="_Toc411525281" w:history="1">
        <w:r w:rsidR="00D42E48" w:rsidRPr="00E41057">
          <w:rPr>
            <w:rStyle w:val="Hyperlink"/>
            <w:noProof/>
          </w:rPr>
          <w:t>Graph 1: Under Five Mortality Rates 2010 - 2013</w:t>
        </w:r>
        <w:r w:rsidR="00D42E48">
          <w:rPr>
            <w:noProof/>
            <w:webHidden/>
          </w:rPr>
          <w:tab/>
        </w:r>
        <w:r w:rsidR="00D42E48">
          <w:rPr>
            <w:noProof/>
            <w:webHidden/>
          </w:rPr>
          <w:fldChar w:fldCharType="begin"/>
        </w:r>
        <w:r w:rsidR="00D42E48">
          <w:rPr>
            <w:noProof/>
            <w:webHidden/>
          </w:rPr>
          <w:instrText xml:space="preserve"> PAGEREF _Toc411525281 \h </w:instrText>
        </w:r>
        <w:r w:rsidR="00D42E48">
          <w:rPr>
            <w:noProof/>
            <w:webHidden/>
          </w:rPr>
        </w:r>
        <w:r w:rsidR="00D42E48">
          <w:rPr>
            <w:noProof/>
            <w:webHidden/>
          </w:rPr>
          <w:fldChar w:fldCharType="separate"/>
        </w:r>
        <w:r w:rsidR="00D42E48">
          <w:rPr>
            <w:noProof/>
            <w:webHidden/>
          </w:rPr>
          <w:t>11</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82" w:history="1">
        <w:r w:rsidR="00D42E48" w:rsidRPr="00E41057">
          <w:rPr>
            <w:rStyle w:val="Hyperlink"/>
            <w:noProof/>
          </w:rPr>
          <w:t>Graph 2: Decline in Neonatal and Post-neonatal Mortality Rates</w:t>
        </w:r>
        <w:r w:rsidR="00D42E48">
          <w:rPr>
            <w:noProof/>
            <w:webHidden/>
          </w:rPr>
          <w:tab/>
        </w:r>
        <w:r w:rsidR="00D42E48">
          <w:rPr>
            <w:noProof/>
            <w:webHidden/>
          </w:rPr>
          <w:fldChar w:fldCharType="begin"/>
        </w:r>
        <w:r w:rsidR="00D42E48">
          <w:rPr>
            <w:noProof/>
            <w:webHidden/>
          </w:rPr>
          <w:instrText xml:space="preserve"> PAGEREF _Toc411525282 \h </w:instrText>
        </w:r>
        <w:r w:rsidR="00D42E48">
          <w:rPr>
            <w:noProof/>
            <w:webHidden/>
          </w:rPr>
        </w:r>
        <w:r w:rsidR="00D42E48">
          <w:rPr>
            <w:noProof/>
            <w:webHidden/>
          </w:rPr>
          <w:fldChar w:fldCharType="separate"/>
        </w:r>
        <w:r w:rsidR="00D42E48">
          <w:rPr>
            <w:noProof/>
            <w:webHidden/>
          </w:rPr>
          <w:t>16</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83" w:history="1">
        <w:r w:rsidR="00D42E48" w:rsidRPr="00E41057">
          <w:rPr>
            <w:rStyle w:val="Hyperlink"/>
            <w:noProof/>
          </w:rPr>
          <w:t>Graph 3: Causes of Maternal death</w:t>
        </w:r>
        <w:r w:rsidR="00D42E48">
          <w:rPr>
            <w:noProof/>
            <w:webHidden/>
          </w:rPr>
          <w:tab/>
        </w:r>
        <w:r w:rsidR="00D42E48">
          <w:rPr>
            <w:noProof/>
            <w:webHidden/>
          </w:rPr>
          <w:fldChar w:fldCharType="begin"/>
        </w:r>
        <w:r w:rsidR="00D42E48">
          <w:rPr>
            <w:noProof/>
            <w:webHidden/>
          </w:rPr>
          <w:instrText xml:space="preserve"> PAGEREF _Toc411525283 \h </w:instrText>
        </w:r>
        <w:r w:rsidR="00D42E48">
          <w:rPr>
            <w:noProof/>
            <w:webHidden/>
          </w:rPr>
        </w:r>
        <w:r w:rsidR="00D42E48">
          <w:rPr>
            <w:noProof/>
            <w:webHidden/>
          </w:rPr>
          <w:fldChar w:fldCharType="separate"/>
        </w:r>
        <w:r w:rsidR="00D42E48">
          <w:rPr>
            <w:noProof/>
            <w:webHidden/>
          </w:rPr>
          <w:t>24</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84" w:history="1">
        <w:r w:rsidR="00D42E48" w:rsidRPr="00E41057">
          <w:rPr>
            <w:rStyle w:val="Hyperlink"/>
            <w:noProof/>
          </w:rPr>
          <w:t>Graph 4: Maternal Mortality Rates 1990, 2010, 2013</w:t>
        </w:r>
        <w:r w:rsidR="00D42E48">
          <w:rPr>
            <w:noProof/>
            <w:webHidden/>
          </w:rPr>
          <w:tab/>
        </w:r>
        <w:r w:rsidR="00D42E48">
          <w:rPr>
            <w:noProof/>
            <w:webHidden/>
          </w:rPr>
          <w:fldChar w:fldCharType="begin"/>
        </w:r>
        <w:r w:rsidR="00D42E48">
          <w:rPr>
            <w:noProof/>
            <w:webHidden/>
          </w:rPr>
          <w:instrText xml:space="preserve"> PAGEREF _Toc411525284 \h </w:instrText>
        </w:r>
        <w:r w:rsidR="00D42E48">
          <w:rPr>
            <w:noProof/>
            <w:webHidden/>
          </w:rPr>
        </w:r>
        <w:r w:rsidR="00D42E48">
          <w:rPr>
            <w:noProof/>
            <w:webHidden/>
          </w:rPr>
          <w:fldChar w:fldCharType="separate"/>
        </w:r>
        <w:r w:rsidR="00D42E48">
          <w:rPr>
            <w:noProof/>
            <w:webHidden/>
          </w:rPr>
          <w:t>26</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85" w:history="1">
        <w:r w:rsidR="00D42E48" w:rsidRPr="00E41057">
          <w:rPr>
            <w:rStyle w:val="Hyperlink"/>
            <w:noProof/>
          </w:rPr>
          <w:t>Graph 5: Status of Skilled Delivery in Africa</w:t>
        </w:r>
        <w:r w:rsidR="00D42E48">
          <w:rPr>
            <w:noProof/>
            <w:webHidden/>
          </w:rPr>
          <w:tab/>
        </w:r>
        <w:r w:rsidR="00D42E48">
          <w:rPr>
            <w:noProof/>
            <w:webHidden/>
          </w:rPr>
          <w:fldChar w:fldCharType="begin"/>
        </w:r>
        <w:r w:rsidR="00D42E48">
          <w:rPr>
            <w:noProof/>
            <w:webHidden/>
          </w:rPr>
          <w:instrText xml:space="preserve"> PAGEREF _Toc411525285 \h </w:instrText>
        </w:r>
        <w:r w:rsidR="00D42E48">
          <w:rPr>
            <w:noProof/>
            <w:webHidden/>
          </w:rPr>
        </w:r>
        <w:r w:rsidR="00D42E48">
          <w:rPr>
            <w:noProof/>
            <w:webHidden/>
          </w:rPr>
          <w:fldChar w:fldCharType="separate"/>
        </w:r>
        <w:r w:rsidR="00D42E48">
          <w:rPr>
            <w:noProof/>
            <w:webHidden/>
          </w:rPr>
          <w:t>28</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86" w:history="1">
        <w:r w:rsidR="00D42E48" w:rsidRPr="00E41057">
          <w:rPr>
            <w:rStyle w:val="Hyperlink"/>
            <w:noProof/>
          </w:rPr>
          <w:t>Graph 6: Contraceptive Prevalence Rates 1994, 2010, 2013</w:t>
        </w:r>
        <w:r w:rsidR="00D42E48">
          <w:rPr>
            <w:noProof/>
            <w:webHidden/>
          </w:rPr>
          <w:tab/>
        </w:r>
        <w:r w:rsidR="00D42E48">
          <w:rPr>
            <w:noProof/>
            <w:webHidden/>
          </w:rPr>
          <w:fldChar w:fldCharType="begin"/>
        </w:r>
        <w:r w:rsidR="00D42E48">
          <w:rPr>
            <w:noProof/>
            <w:webHidden/>
          </w:rPr>
          <w:instrText xml:space="preserve"> PAGEREF _Toc411525286 \h </w:instrText>
        </w:r>
        <w:r w:rsidR="00D42E48">
          <w:rPr>
            <w:noProof/>
            <w:webHidden/>
          </w:rPr>
        </w:r>
        <w:r w:rsidR="00D42E48">
          <w:rPr>
            <w:noProof/>
            <w:webHidden/>
          </w:rPr>
          <w:fldChar w:fldCharType="separate"/>
        </w:r>
        <w:r w:rsidR="00D42E48">
          <w:rPr>
            <w:noProof/>
            <w:webHidden/>
          </w:rPr>
          <w:t>32</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87" w:history="1">
        <w:r w:rsidR="00D42E48" w:rsidRPr="00E41057">
          <w:rPr>
            <w:rStyle w:val="Hyperlink"/>
            <w:noProof/>
          </w:rPr>
          <w:t>Graph 7: Average Unmet Need for FP 1994, 2000, 2010, 2013</w:t>
        </w:r>
        <w:r w:rsidR="00D42E48">
          <w:rPr>
            <w:noProof/>
            <w:webHidden/>
          </w:rPr>
          <w:tab/>
        </w:r>
        <w:r w:rsidR="00D42E48">
          <w:rPr>
            <w:noProof/>
            <w:webHidden/>
          </w:rPr>
          <w:fldChar w:fldCharType="begin"/>
        </w:r>
        <w:r w:rsidR="00D42E48">
          <w:rPr>
            <w:noProof/>
            <w:webHidden/>
          </w:rPr>
          <w:instrText xml:space="preserve"> PAGEREF _Toc411525287 \h </w:instrText>
        </w:r>
        <w:r w:rsidR="00D42E48">
          <w:rPr>
            <w:noProof/>
            <w:webHidden/>
          </w:rPr>
        </w:r>
        <w:r w:rsidR="00D42E48">
          <w:rPr>
            <w:noProof/>
            <w:webHidden/>
          </w:rPr>
          <w:fldChar w:fldCharType="separate"/>
        </w:r>
        <w:r w:rsidR="00D42E48">
          <w:rPr>
            <w:noProof/>
            <w:webHidden/>
          </w:rPr>
          <w:t>33</w:t>
        </w:r>
        <w:r w:rsidR="00D42E48">
          <w:rPr>
            <w:noProof/>
            <w:webHidden/>
          </w:rPr>
          <w:fldChar w:fldCharType="end"/>
        </w:r>
      </w:hyperlink>
    </w:p>
    <w:p w:rsidR="00D42E48" w:rsidRDefault="00A30A32">
      <w:pPr>
        <w:pStyle w:val="TableofFigures"/>
        <w:tabs>
          <w:tab w:val="right" w:leader="dot" w:pos="9060"/>
        </w:tabs>
        <w:rPr>
          <w:rFonts w:eastAsiaTheme="minorEastAsia"/>
          <w:noProof/>
          <w:lang w:eastAsia="en-GB"/>
        </w:rPr>
      </w:pPr>
      <w:hyperlink w:anchor="_Toc411525288" w:history="1">
        <w:r w:rsidR="00D42E48" w:rsidRPr="00E41057">
          <w:rPr>
            <w:rStyle w:val="Hyperlink"/>
            <w:noProof/>
          </w:rPr>
          <w:t>Graph 8: Adolescent Fertility Rates 1994, 2000, 2013</w:t>
        </w:r>
        <w:r w:rsidR="00D42E48">
          <w:rPr>
            <w:noProof/>
            <w:webHidden/>
          </w:rPr>
          <w:tab/>
        </w:r>
        <w:r w:rsidR="00D42E48">
          <w:rPr>
            <w:noProof/>
            <w:webHidden/>
          </w:rPr>
          <w:fldChar w:fldCharType="begin"/>
        </w:r>
        <w:r w:rsidR="00D42E48">
          <w:rPr>
            <w:noProof/>
            <w:webHidden/>
          </w:rPr>
          <w:instrText xml:space="preserve"> PAGEREF _Toc411525288 \h </w:instrText>
        </w:r>
        <w:r w:rsidR="00D42E48">
          <w:rPr>
            <w:noProof/>
            <w:webHidden/>
          </w:rPr>
        </w:r>
        <w:r w:rsidR="00D42E48">
          <w:rPr>
            <w:noProof/>
            <w:webHidden/>
          </w:rPr>
          <w:fldChar w:fldCharType="separate"/>
        </w:r>
        <w:r w:rsidR="00D42E48">
          <w:rPr>
            <w:noProof/>
            <w:webHidden/>
          </w:rPr>
          <w:t>37</w:t>
        </w:r>
        <w:r w:rsidR="00D42E48">
          <w:rPr>
            <w:noProof/>
            <w:webHidden/>
          </w:rPr>
          <w:fldChar w:fldCharType="end"/>
        </w:r>
      </w:hyperlink>
    </w:p>
    <w:p w:rsidR="009B36C1" w:rsidRDefault="00373FF7">
      <w:r>
        <w:fldChar w:fldCharType="end"/>
      </w:r>
    </w:p>
    <w:p w:rsidR="009B36C1" w:rsidRDefault="009B36C1">
      <w:r>
        <w:t>Figures</w:t>
      </w:r>
    </w:p>
    <w:bookmarkStart w:id="1" w:name="_TOC2300"/>
    <w:bookmarkEnd w:id="1"/>
    <w:p w:rsidR="00903535" w:rsidRDefault="00373FF7">
      <w:pPr>
        <w:pStyle w:val="TableofFigures"/>
        <w:tabs>
          <w:tab w:val="right" w:leader="dot" w:pos="9060"/>
        </w:tabs>
        <w:rPr>
          <w:rFonts w:eastAsiaTheme="minorEastAsia"/>
          <w:noProof/>
          <w:lang w:eastAsia="en-GB"/>
        </w:rPr>
      </w:pPr>
      <w:r>
        <w:fldChar w:fldCharType="begin"/>
      </w:r>
      <w:r w:rsidR="009B36C1">
        <w:instrText xml:space="preserve"> TOC \h \z \c "Figure" </w:instrText>
      </w:r>
      <w:r>
        <w:fldChar w:fldCharType="separate"/>
      </w:r>
      <w:hyperlink w:anchor="_Toc411294816" w:history="1">
        <w:r w:rsidR="00903535" w:rsidRPr="00A3495E">
          <w:rPr>
            <w:rStyle w:val="Hyperlink"/>
            <w:noProof/>
          </w:rPr>
          <w:t>Figure 1: Map of Africa showing MMR</w:t>
        </w:r>
        <w:r w:rsidR="00903535">
          <w:rPr>
            <w:noProof/>
            <w:webHidden/>
          </w:rPr>
          <w:tab/>
        </w:r>
        <w:r w:rsidR="00903535">
          <w:rPr>
            <w:noProof/>
            <w:webHidden/>
          </w:rPr>
          <w:fldChar w:fldCharType="begin"/>
        </w:r>
        <w:r w:rsidR="00903535">
          <w:rPr>
            <w:noProof/>
            <w:webHidden/>
          </w:rPr>
          <w:instrText xml:space="preserve"> PAGEREF _Toc411294816 \h </w:instrText>
        </w:r>
        <w:r w:rsidR="00903535">
          <w:rPr>
            <w:noProof/>
            <w:webHidden/>
          </w:rPr>
        </w:r>
        <w:r w:rsidR="00903535">
          <w:rPr>
            <w:noProof/>
            <w:webHidden/>
          </w:rPr>
          <w:fldChar w:fldCharType="separate"/>
        </w:r>
        <w:r w:rsidR="00903535">
          <w:rPr>
            <w:noProof/>
            <w:webHidden/>
          </w:rPr>
          <w:t>23</w:t>
        </w:r>
        <w:r w:rsidR="00903535">
          <w:rPr>
            <w:noProof/>
            <w:webHidden/>
          </w:rPr>
          <w:fldChar w:fldCharType="end"/>
        </w:r>
      </w:hyperlink>
    </w:p>
    <w:p w:rsidR="005C738B" w:rsidRDefault="00373FF7">
      <w:pPr>
        <w:rPr>
          <w:rFonts w:ascii="Georgia" w:eastAsiaTheme="majorEastAsia" w:hAnsi="Georgia" w:cstheme="majorBidi"/>
          <w:bCs/>
          <w:color w:val="003865"/>
          <w:sz w:val="26"/>
          <w:szCs w:val="28"/>
        </w:rPr>
      </w:pPr>
      <w:r>
        <w:fldChar w:fldCharType="end"/>
      </w:r>
      <w:r w:rsidR="005C738B">
        <w:br w:type="page"/>
      </w:r>
    </w:p>
    <w:p w:rsidR="006B55B5" w:rsidRPr="008E028A" w:rsidRDefault="00373FF7" w:rsidP="0038764D">
      <w:pPr>
        <w:pStyle w:val="Heading1"/>
      </w:pPr>
      <w:bookmarkStart w:id="2" w:name="_Toc411525470"/>
      <w:r w:rsidRPr="008E028A">
        <w:lastRenderedPageBreak/>
        <w:t>Executive Summary</w:t>
      </w:r>
      <w:bookmarkEnd w:id="2"/>
    </w:p>
    <w:p w:rsidR="009B36C1" w:rsidRDefault="009B36C1" w:rsidP="006040E9">
      <w:pPr>
        <w:jc w:val="both"/>
      </w:pPr>
      <w:r>
        <w:t>Strong political will and national ownership across the African continent has resulted in impressive gains in child and maternal health. African leaders have shown commitment and high</w:t>
      </w:r>
      <w:r w:rsidR="008E028A">
        <w:t xml:space="preserve"> </w:t>
      </w:r>
      <w:r>
        <w:t>level support to Maternal, New</w:t>
      </w:r>
      <w:r w:rsidR="007312F7">
        <w:t>-</w:t>
      </w:r>
      <w:r>
        <w:t xml:space="preserve">born and Child Health (MNCH) through </w:t>
      </w:r>
      <w:r w:rsidR="0030386E">
        <w:t xml:space="preserve">various declarations and decisions aimed at accelerating </w:t>
      </w:r>
      <w:r>
        <w:t>the</w:t>
      </w:r>
      <w:r w:rsidR="0030386E">
        <w:t xml:space="preserve"> achievement of the</w:t>
      </w:r>
      <w:r w:rsidR="005E2E1C">
        <w:t xml:space="preserve"> </w:t>
      </w:r>
      <w:r w:rsidR="009C13A6">
        <w:t>Millennium</w:t>
      </w:r>
      <w:r>
        <w:t xml:space="preserve"> Development Goals (MDGs) </w:t>
      </w:r>
      <w:r w:rsidR="0030386E">
        <w:t>thereby</w:t>
      </w:r>
      <w:r>
        <w:t xml:space="preserve"> catalys</w:t>
      </w:r>
      <w:r w:rsidR="0030386E">
        <w:t>ing</w:t>
      </w:r>
      <w:r>
        <w:t xml:space="preserve"> the attainment of better health outcomes on the continent. There have been unprecedented reductions in the under</w:t>
      </w:r>
      <w:r w:rsidR="007312F7">
        <w:t>-</w:t>
      </w:r>
      <w:r>
        <w:t>f</w:t>
      </w:r>
      <w:r w:rsidR="008F65A4">
        <w:t>ive mortality since 2000. P</w:t>
      </w:r>
      <w:r>
        <w:t xml:space="preserve">rogress has </w:t>
      </w:r>
      <w:r w:rsidR="0030386E">
        <w:t>been recorded</w:t>
      </w:r>
      <w:r>
        <w:t xml:space="preserve"> in the reduction of Maternal Mortality, </w:t>
      </w:r>
      <w:r w:rsidR="008F65A4">
        <w:t xml:space="preserve">although </w:t>
      </w:r>
      <w:r w:rsidR="0030386E">
        <w:t>Maternal Mortality Ratio (</w:t>
      </w:r>
      <w:r>
        <w:t>MMR</w:t>
      </w:r>
      <w:r w:rsidR="0030386E">
        <w:t>)</w:t>
      </w:r>
      <w:r>
        <w:t xml:space="preserve"> on the </w:t>
      </w:r>
      <w:r w:rsidR="007935D5">
        <w:t>continent</w:t>
      </w:r>
      <w:r>
        <w:t xml:space="preserve"> remains exceedingly high. Key continental policies and tools have maintained </w:t>
      </w:r>
      <w:r w:rsidR="0030386E">
        <w:t xml:space="preserve">and continue to maintain </w:t>
      </w:r>
      <w:r>
        <w:t xml:space="preserve">focus and advocacy on MNCH. </w:t>
      </w:r>
      <w:r w:rsidR="0030386E">
        <w:t xml:space="preserve">The AUC post 2015 policy </w:t>
      </w:r>
      <w:r w:rsidR="00C959A7">
        <w:t xml:space="preserve">instruments; </w:t>
      </w:r>
      <w:r w:rsidR="0030386E">
        <w:t xml:space="preserve">African Union (AU) Common Position on the Post 2015 development Agenda and the AU </w:t>
      </w:r>
      <w:r w:rsidR="00C959A7">
        <w:t>Agenda</w:t>
      </w:r>
      <w:r w:rsidR="0030386E">
        <w:t xml:space="preserve"> 2063</w:t>
      </w:r>
      <w:r w:rsidR="00C959A7">
        <w:t>) espouses and broadly defines MNCH.</w:t>
      </w:r>
    </w:p>
    <w:p w:rsidR="005078CD" w:rsidRDefault="005078CD" w:rsidP="008E028A">
      <w:pPr>
        <w:jc w:val="both"/>
      </w:pPr>
    </w:p>
    <w:p w:rsidR="005078CD" w:rsidRDefault="005078CD" w:rsidP="006040E9">
      <w:pPr>
        <w:jc w:val="both"/>
        <w:rPr>
          <w:szCs w:val="21"/>
        </w:rPr>
      </w:pPr>
      <w:r>
        <w:t xml:space="preserve">In July 2010 in Kampala, Uganda, the AU Assembly reaffirmed its commitment to maternal and child health, and renewed the continental vigour to attain MDGs 4, 5 and 6 by 2015. The </w:t>
      </w:r>
      <w:r w:rsidRPr="0066132D">
        <w:rPr>
          <w:szCs w:val="21"/>
        </w:rPr>
        <w:t xml:space="preserve">African Union </w:t>
      </w:r>
      <w:r>
        <w:rPr>
          <w:szCs w:val="21"/>
        </w:rPr>
        <w:t xml:space="preserve">Assembly </w:t>
      </w:r>
      <w:r w:rsidRPr="0066132D">
        <w:rPr>
          <w:szCs w:val="21"/>
        </w:rPr>
        <w:t xml:space="preserve">(under declaration Assembly/AU/Decl.1{XV}) </w:t>
      </w:r>
      <w:r>
        <w:rPr>
          <w:szCs w:val="21"/>
        </w:rPr>
        <w:t>also mandated the African Union Commission to</w:t>
      </w:r>
      <w:r w:rsidRPr="0066132D">
        <w:rPr>
          <w:szCs w:val="21"/>
        </w:rPr>
        <w:t xml:space="preserve"> report annually on the status of </w:t>
      </w:r>
      <w:r>
        <w:rPr>
          <w:szCs w:val="21"/>
        </w:rPr>
        <w:t>MNCH</w:t>
      </w:r>
      <w:r w:rsidRPr="0066132D">
        <w:rPr>
          <w:szCs w:val="21"/>
        </w:rPr>
        <w:t xml:space="preserve"> in Africa until 2015</w:t>
      </w:r>
      <w:r>
        <w:rPr>
          <w:szCs w:val="21"/>
        </w:rPr>
        <w:t xml:space="preserve">. This report summarises the status of MNCH in Africa </w:t>
      </w:r>
      <w:r w:rsidR="002D5FE4">
        <w:rPr>
          <w:szCs w:val="21"/>
        </w:rPr>
        <w:t>as at</w:t>
      </w:r>
      <w:r w:rsidR="00637163">
        <w:rPr>
          <w:szCs w:val="21"/>
        </w:rPr>
        <w:t xml:space="preserve"> </w:t>
      </w:r>
      <w:r>
        <w:rPr>
          <w:szCs w:val="21"/>
        </w:rPr>
        <w:t>2014, but also considers policy and pragmatic requirements to maintain MNCH on the agenda and its discourse in the post 2015 Agenda.</w:t>
      </w:r>
    </w:p>
    <w:p w:rsidR="005078CD" w:rsidRDefault="005078CD" w:rsidP="006040E9">
      <w:pPr>
        <w:jc w:val="both"/>
        <w:rPr>
          <w:szCs w:val="21"/>
        </w:rPr>
      </w:pPr>
    </w:p>
    <w:p w:rsidR="005078CD" w:rsidRDefault="009F1354" w:rsidP="006040E9">
      <w:pPr>
        <w:jc w:val="both"/>
      </w:pPr>
      <w:r>
        <w:rPr>
          <w:szCs w:val="21"/>
        </w:rPr>
        <w:t xml:space="preserve">There have been significant gains in child health in Africa. </w:t>
      </w:r>
      <w:r w:rsidRPr="009F1354">
        <w:rPr>
          <w:szCs w:val="21"/>
        </w:rPr>
        <w:t>There have been dramatic declines in under</w:t>
      </w:r>
      <w:r w:rsidR="007312F7">
        <w:rPr>
          <w:szCs w:val="21"/>
        </w:rPr>
        <w:t>-</w:t>
      </w:r>
      <w:r w:rsidRPr="009F1354">
        <w:rPr>
          <w:szCs w:val="21"/>
        </w:rPr>
        <w:t>five mortality from levels seen in 1990</w:t>
      </w:r>
      <w:r>
        <w:rPr>
          <w:szCs w:val="21"/>
        </w:rPr>
        <w:t>, with large reductions in under</w:t>
      </w:r>
      <w:r w:rsidR="007312F7">
        <w:rPr>
          <w:szCs w:val="21"/>
        </w:rPr>
        <w:t>-</w:t>
      </w:r>
      <w:r>
        <w:rPr>
          <w:szCs w:val="21"/>
        </w:rPr>
        <w:t xml:space="preserve">five mortality witnessed in between 2010 – 2013. Africa, South of the Sahara, has continually reduced the rate of </w:t>
      </w:r>
      <w:r w:rsidR="007312F7">
        <w:rPr>
          <w:szCs w:val="21"/>
        </w:rPr>
        <w:t>under-five</w:t>
      </w:r>
      <w:r>
        <w:rPr>
          <w:szCs w:val="21"/>
        </w:rPr>
        <w:t xml:space="preserve"> mortality, reducing it </w:t>
      </w:r>
      <w:r w:rsidRPr="009F1354">
        <w:rPr>
          <w:szCs w:val="21"/>
        </w:rPr>
        <w:t>from an average 177 per 1000 live births in 1990 to 98 per 1000 live births in 2013</w:t>
      </w:r>
      <w:r w:rsidR="005D7C35">
        <w:rPr>
          <w:szCs w:val="21"/>
        </w:rPr>
        <w:t xml:space="preserve">. </w:t>
      </w:r>
      <w:r w:rsidR="005D7C35">
        <w:t xml:space="preserve">The average rate of decline of </w:t>
      </w:r>
      <w:r w:rsidR="007312F7">
        <w:t>under-five</w:t>
      </w:r>
      <w:r w:rsidR="005D7C35">
        <w:t xml:space="preserve"> mortality has averaged 4.2% per year between 2010 and 2013. By the end of 2013, the average under</w:t>
      </w:r>
      <w:r w:rsidR="007312F7">
        <w:t>-</w:t>
      </w:r>
      <w:r w:rsidR="005D7C35">
        <w:t xml:space="preserve">five mortality had reduced by </w:t>
      </w:r>
      <w:r w:rsidR="00842F65">
        <w:t xml:space="preserve">43.6% from the baseline. There have been less dramatic reductions in neonatal mortality death </w:t>
      </w:r>
      <w:r w:rsidR="0005182D">
        <w:t>rates, which</w:t>
      </w:r>
      <w:r w:rsidR="00842F65">
        <w:t xml:space="preserve"> have not reduced significantly from the baseline. The major causes of </w:t>
      </w:r>
      <w:r w:rsidR="00842F65" w:rsidRPr="00842F65">
        <w:t>death among children under age five include preterm birth complications (17% of under</w:t>
      </w:r>
      <w:r w:rsidR="007312F7">
        <w:t>-</w:t>
      </w:r>
      <w:r w:rsidR="00842F65" w:rsidRPr="00842F65">
        <w:t>five deaths), pneumonia (15%), intra</w:t>
      </w:r>
      <w:r w:rsidR="007312F7">
        <w:t>-</w:t>
      </w:r>
      <w:r w:rsidR="00842F65" w:rsidRPr="00842F65">
        <w:t>partum-related complications (11%), diarrhoea (9 %) and malaria (7%).</w:t>
      </w:r>
      <w:r w:rsidR="00842F65">
        <w:t xml:space="preserve"> N</w:t>
      </w:r>
      <w:r w:rsidR="00842F65" w:rsidRPr="00842F65">
        <w:t>early half of under</w:t>
      </w:r>
      <w:r w:rsidR="007312F7">
        <w:t>-</w:t>
      </w:r>
      <w:r w:rsidR="00842F65" w:rsidRPr="00842F65">
        <w:t>five deaths are attributable to undernutrition</w:t>
      </w:r>
      <w:r w:rsidR="00842F65">
        <w:t xml:space="preserve">, which highlights the importance of food and nutrition security. </w:t>
      </w:r>
      <w:r w:rsidR="00C7283D">
        <w:t>The majority of child deaths can be prevented by focusing on infectious diseases, immunisation and</w:t>
      </w:r>
      <w:r w:rsidR="00E365CB">
        <w:t xml:space="preserve"> improving nutrition and strengthening</w:t>
      </w:r>
      <w:r w:rsidR="00354640">
        <w:t xml:space="preserve"> </w:t>
      </w:r>
      <w:r w:rsidR="00C7283D">
        <w:t>interventions</w:t>
      </w:r>
      <w:r w:rsidR="00354640">
        <w:t xml:space="preserve"> around the neonatal period.</w:t>
      </w:r>
      <w:r w:rsidR="00C7283D">
        <w:t xml:space="preserve"> </w:t>
      </w:r>
    </w:p>
    <w:p w:rsidR="00C7283D" w:rsidRDefault="00C7283D" w:rsidP="006040E9">
      <w:pPr>
        <w:jc w:val="both"/>
      </w:pPr>
    </w:p>
    <w:p w:rsidR="00C7283D" w:rsidRDefault="00C7283D" w:rsidP="006040E9">
      <w:pPr>
        <w:jc w:val="both"/>
      </w:pPr>
      <w:r>
        <w:t xml:space="preserve">There has been some improvement and gains in maternal health on the continent. </w:t>
      </w:r>
      <w:r w:rsidRPr="00C7283D">
        <w:t>Maternal mortality has nearly halved from levels seen in 1990s</w:t>
      </w:r>
      <w:r>
        <w:t xml:space="preserve">, and a number of African countries </w:t>
      </w:r>
      <w:r w:rsidR="009410A4">
        <w:t xml:space="preserve">are making firm progress towards attainment of MDG 5. </w:t>
      </w:r>
      <w:r w:rsidR="0005182D">
        <w:t xml:space="preserve">Despite these gains, numerous women are still dying from preventable causes. </w:t>
      </w:r>
      <w:r w:rsidR="00354640" w:rsidRPr="00354640">
        <w:t xml:space="preserve">The average maternal mortality ratio in Africa has reduced from 990 per 100,000 women in 1990 to 510 per 100,000 </w:t>
      </w:r>
      <w:r w:rsidR="00354640">
        <w:t xml:space="preserve">and at the end of 2013, the average MMR was 425.6, with variation across the continent. </w:t>
      </w:r>
      <w:r w:rsidR="006C4F61">
        <w:t xml:space="preserve">The average percentage of reduction of the MMR from the baseline was 44.8%. </w:t>
      </w:r>
      <w:r w:rsidR="00140413">
        <w:t xml:space="preserve">About 73% of all maternal deaths were due to direct obstetric causes and deaths due to indirect causes accounted for 27·5%. </w:t>
      </w:r>
      <w:r w:rsidR="0005605A">
        <w:t xml:space="preserve">The main direct causes of maternal death are </w:t>
      </w:r>
      <w:r w:rsidR="00140413">
        <w:t xml:space="preserve">Postpartum haemorrhage </w:t>
      </w:r>
      <w:r w:rsidR="0005605A">
        <w:t>(</w:t>
      </w:r>
      <w:r w:rsidR="00140413">
        <w:t>27.1</w:t>
      </w:r>
      <w:r w:rsidR="00140413" w:rsidRPr="002B5AE4">
        <w:t>%</w:t>
      </w:r>
      <w:r w:rsidR="0005605A">
        <w:t>),</w:t>
      </w:r>
      <w:r w:rsidR="00140413" w:rsidRPr="002B5AE4">
        <w:t xml:space="preserve"> </w:t>
      </w:r>
      <w:r w:rsidR="0005605A">
        <w:t>p</w:t>
      </w:r>
      <w:r w:rsidR="00140413" w:rsidRPr="002B5AE4">
        <w:t>regnancy related hyper</w:t>
      </w:r>
      <w:r w:rsidR="00140413">
        <w:t xml:space="preserve">tensive disorders account </w:t>
      </w:r>
      <w:r w:rsidR="0005605A">
        <w:t>(</w:t>
      </w:r>
      <w:r w:rsidR="00140413">
        <w:t>14</w:t>
      </w:r>
      <w:r w:rsidR="00140413" w:rsidRPr="002B5AE4">
        <w:t>%</w:t>
      </w:r>
      <w:r w:rsidR="0005605A">
        <w:t xml:space="preserve">), </w:t>
      </w:r>
      <w:r w:rsidR="0005605A">
        <w:lastRenderedPageBreak/>
        <w:t>puerperal sepsis (</w:t>
      </w:r>
      <w:r w:rsidR="00140413" w:rsidRPr="002B5AE4">
        <w:t>10</w:t>
      </w:r>
      <w:r w:rsidR="00140413">
        <w:t>.7%</w:t>
      </w:r>
      <w:r w:rsidR="0005605A">
        <w:t xml:space="preserve">), unsafe </w:t>
      </w:r>
      <w:r w:rsidR="00140413">
        <w:t>abortion (7·9%), embolism (3·2%), and other direct causes of death including obstructed labour (9·6%)</w:t>
      </w:r>
      <w:r w:rsidR="00140413" w:rsidRPr="002B5AE4">
        <w:t>.</w:t>
      </w:r>
      <w:r w:rsidR="006C4F61">
        <w:t xml:space="preserve"> </w:t>
      </w:r>
      <w:r w:rsidR="0005605A">
        <w:t>Maternal mortality ca</w:t>
      </w:r>
      <w:r w:rsidR="00BE060C">
        <w:t xml:space="preserve">n be reduced by focusing on the commonest and preventable causes of death. A focus on low cost and high impact interventions </w:t>
      </w:r>
      <w:r w:rsidR="00DD2A5A">
        <w:t>including: support to and expansion of midwifery training, prevention of postpartum haemorrhage, intrapartum interventions such as use of partographs and antibiotics for infections, maternal death surveillance reporting; and use of community mobilisation to increase institutional deliveries</w:t>
      </w:r>
      <w:r w:rsidR="004C510C">
        <w:t>, male involvement in MNCH among others can greatly reduce preventable deaths</w:t>
      </w:r>
      <w:r w:rsidR="00DD2A5A">
        <w:t>.</w:t>
      </w:r>
    </w:p>
    <w:p w:rsidR="00DD2A5A" w:rsidRDefault="00DD2A5A" w:rsidP="006040E9">
      <w:pPr>
        <w:jc w:val="both"/>
      </w:pPr>
    </w:p>
    <w:p w:rsidR="00E365CB" w:rsidRDefault="00DD2A5A" w:rsidP="007312F7">
      <w:pPr>
        <w:jc w:val="both"/>
      </w:pPr>
      <w:r>
        <w:t xml:space="preserve">To maintain MNCH on the agenda once the MDGs elapse, it is crucial that MNCH continues to occupy top priority in the post 2015 Agenda. </w:t>
      </w:r>
      <w:r w:rsidR="004C510C">
        <w:t xml:space="preserve">For this to happen maternal and child </w:t>
      </w:r>
      <w:r>
        <w:t xml:space="preserve">health </w:t>
      </w:r>
      <w:r w:rsidR="004C510C">
        <w:t>should be considered as</w:t>
      </w:r>
      <w:r>
        <w:t xml:space="preserve"> an unfinished business requiring renewed vigour and determination in the post 2015 development agenda</w:t>
      </w:r>
      <w:r w:rsidR="00E365CB">
        <w:t>.</w:t>
      </w:r>
    </w:p>
    <w:p w:rsidR="00E365CB" w:rsidRDefault="00E365CB" w:rsidP="007312F7">
      <w:pPr>
        <w:jc w:val="both"/>
      </w:pPr>
    </w:p>
    <w:p w:rsidR="001F630C" w:rsidRDefault="00E365CB" w:rsidP="007312F7">
      <w:pPr>
        <w:jc w:val="both"/>
      </w:pPr>
      <w:r>
        <w:t xml:space="preserve">It is recommended that </w:t>
      </w:r>
      <w:r w:rsidR="007312F7" w:rsidRPr="007312F7">
        <w:t>high-level</w:t>
      </w:r>
      <w:r w:rsidR="00DD2A5A" w:rsidRPr="007312F7">
        <w:t xml:space="preserve"> advocacy on MNCH</w:t>
      </w:r>
      <w:r>
        <w:t xml:space="preserve"> continues. </w:t>
      </w:r>
      <w:r w:rsidR="00DD2A5A">
        <w:t xml:space="preserve">It is imperative </w:t>
      </w:r>
      <w:r>
        <w:t xml:space="preserve">for </w:t>
      </w:r>
      <w:r w:rsidR="00DD2A5A">
        <w:t>continental advocacy campaigns such as C</w:t>
      </w:r>
      <w:r w:rsidR="001F630C">
        <w:t xml:space="preserve">ampaign for Accelerated Reduction of Maternal Mortality in Africa </w:t>
      </w:r>
      <w:r w:rsidR="00DD2A5A">
        <w:t>continue in the post 2015 era.</w:t>
      </w:r>
      <w:r>
        <w:t xml:space="preserve"> This should be coupled with </w:t>
      </w:r>
      <w:r w:rsidRPr="007312F7">
        <w:t>s</w:t>
      </w:r>
      <w:r w:rsidR="00DD2A5A" w:rsidRPr="007312F7">
        <w:t>upport</w:t>
      </w:r>
      <w:r>
        <w:t xml:space="preserve"> for the</w:t>
      </w:r>
      <w:r w:rsidR="00DD2A5A" w:rsidRPr="007312F7">
        <w:t xml:space="preserve"> bold and ambitious Africa wide goals</w:t>
      </w:r>
      <w:r>
        <w:t xml:space="preserve"> as stated in T</w:t>
      </w:r>
      <w:r w:rsidR="00DD2A5A">
        <w:t>he common African position on the post 2015 development agenda</w:t>
      </w:r>
      <w:r>
        <w:t>. T</w:t>
      </w:r>
      <w:r w:rsidR="00DD2A5A">
        <w:t xml:space="preserve">he continent </w:t>
      </w:r>
      <w:r>
        <w:t xml:space="preserve">should continue </w:t>
      </w:r>
      <w:r w:rsidR="00DD2A5A">
        <w:t>striv</w:t>
      </w:r>
      <w:r>
        <w:t xml:space="preserve">ing </w:t>
      </w:r>
      <w:r w:rsidR="00DD2A5A">
        <w:t>to achieve</w:t>
      </w:r>
      <w:r>
        <w:t xml:space="preserve"> </w:t>
      </w:r>
      <w:r w:rsidR="001F630C">
        <w:t xml:space="preserve">the vision to </w:t>
      </w:r>
      <w:r w:rsidR="00DD2A5A">
        <w:t>“end preventable maternal deaths in Africa by 20</w:t>
      </w:r>
      <w:r w:rsidR="001F630C">
        <w:t>30”</w:t>
      </w:r>
      <w:r w:rsidR="00DD2A5A">
        <w:t xml:space="preserve">. </w:t>
      </w:r>
    </w:p>
    <w:p w:rsidR="00E365CB" w:rsidRDefault="00E365CB" w:rsidP="007312F7">
      <w:pPr>
        <w:jc w:val="both"/>
      </w:pPr>
    </w:p>
    <w:p w:rsidR="001F630C" w:rsidRDefault="00E365CB" w:rsidP="007312F7">
      <w:pPr>
        <w:jc w:val="both"/>
      </w:pPr>
      <w:r>
        <w:t xml:space="preserve">There needs to be a </w:t>
      </w:r>
      <w:r w:rsidRPr="007312F7">
        <w:t>g</w:t>
      </w:r>
      <w:r w:rsidR="0005182D" w:rsidRPr="007312F7">
        <w:t>reater focus on human resources for health</w:t>
      </w:r>
      <w:r>
        <w:t>. Policies to recruit and retain</w:t>
      </w:r>
      <w:r w:rsidR="0005182D">
        <w:t xml:space="preserve"> adequate</w:t>
      </w:r>
      <w:r>
        <w:t xml:space="preserve"> numbers of</w:t>
      </w:r>
      <w:r w:rsidR="0005182D">
        <w:t xml:space="preserve"> health workers to deliver health care to women and children</w:t>
      </w:r>
      <w:r>
        <w:t xml:space="preserve"> are required. Health workers </w:t>
      </w:r>
      <w:r w:rsidR="0005182D">
        <w:t>should be equitably distributed between rural and urban areas</w:t>
      </w:r>
      <w:r>
        <w:t>.</w:t>
      </w:r>
      <w:r>
        <w:rPr>
          <w:b/>
        </w:rPr>
        <w:t xml:space="preserve"> </w:t>
      </w:r>
      <w:r>
        <w:t xml:space="preserve">In tandem, </w:t>
      </w:r>
      <w:r w:rsidR="003C2455">
        <w:t xml:space="preserve">there should be measures to complement the overall </w:t>
      </w:r>
      <w:r w:rsidR="00DD2A5A" w:rsidRPr="007312F7">
        <w:t>strengthening of health systems</w:t>
      </w:r>
      <w:r w:rsidR="003C2455">
        <w:t xml:space="preserve">. This would require maintaining a </w:t>
      </w:r>
      <w:r w:rsidR="001F630C">
        <w:t xml:space="preserve">well functioning health system with the adequate components of human resources, medical equipment and products, financing and management capacity </w:t>
      </w:r>
      <w:r w:rsidR="003C2455">
        <w:t>a</w:t>
      </w:r>
      <w:r w:rsidR="001F630C">
        <w:t xml:space="preserve">s the long term solution to reducing maternal and child deaths. </w:t>
      </w:r>
    </w:p>
    <w:p w:rsidR="003C2455" w:rsidRDefault="003C2455" w:rsidP="007312F7">
      <w:pPr>
        <w:jc w:val="both"/>
      </w:pPr>
    </w:p>
    <w:p w:rsidR="008E028A" w:rsidRDefault="003C2455" w:rsidP="007312F7">
      <w:pPr>
        <w:jc w:val="both"/>
      </w:pPr>
      <w:r>
        <w:t xml:space="preserve">Greater investment and </w:t>
      </w:r>
      <w:r w:rsidR="00870383">
        <w:t>r</w:t>
      </w:r>
      <w:r w:rsidR="00DD2A5A" w:rsidRPr="007312F7">
        <w:t>obust</w:t>
      </w:r>
      <w:r w:rsidR="00870383">
        <w:t xml:space="preserve"> focus on </w:t>
      </w:r>
      <w:r w:rsidR="00DD2A5A" w:rsidRPr="007312F7">
        <w:t>data surveillance, collection, estimates and civil registration</w:t>
      </w:r>
      <w:r w:rsidR="00870383">
        <w:t xml:space="preserve"> is required. Adopting </w:t>
      </w:r>
      <w:r w:rsidR="00DD2A5A">
        <w:t>common approaches to measurement of maternal mortality</w:t>
      </w:r>
      <w:r w:rsidR="00870383">
        <w:t xml:space="preserve">, registering/ notifying all maternal deaths and improving </w:t>
      </w:r>
      <w:r w:rsidR="00DD2A5A">
        <w:t>civil and vital registration</w:t>
      </w:r>
      <w:r w:rsidR="00870383">
        <w:t xml:space="preserve"> would increase the evidence base on MNCH. There is a need to </w:t>
      </w:r>
      <w:r w:rsidR="00DD2A5A">
        <w:t xml:space="preserve">strengthening </w:t>
      </w:r>
      <w:r w:rsidR="00870383">
        <w:t xml:space="preserve">and institutionalise </w:t>
      </w:r>
      <w:r w:rsidR="00DD2A5A">
        <w:t>maternal</w:t>
      </w:r>
      <w:r w:rsidR="00870383">
        <w:t xml:space="preserve"> death surveillance and response. </w:t>
      </w:r>
    </w:p>
    <w:p w:rsidR="00870383" w:rsidRDefault="00870383" w:rsidP="007312F7">
      <w:pPr>
        <w:jc w:val="both"/>
      </w:pPr>
    </w:p>
    <w:p w:rsidR="001F630C" w:rsidRDefault="00870383" w:rsidP="007312F7">
      <w:pPr>
        <w:jc w:val="both"/>
      </w:pPr>
      <w:r>
        <w:t xml:space="preserve">Firm considerations on </w:t>
      </w:r>
      <w:r w:rsidRPr="007312F7">
        <w:t>h</w:t>
      </w:r>
      <w:r w:rsidR="00306164" w:rsidRPr="007312F7">
        <w:t xml:space="preserve">ealth </w:t>
      </w:r>
      <w:r w:rsidRPr="007312F7">
        <w:t>f</w:t>
      </w:r>
      <w:r w:rsidR="00306164" w:rsidRPr="007312F7">
        <w:t>inancing</w:t>
      </w:r>
      <w:r>
        <w:t xml:space="preserve"> are required. This </w:t>
      </w:r>
      <w:r w:rsidR="00306164">
        <w:t>should include abolition of u</w:t>
      </w:r>
      <w:r w:rsidR="00DD2A5A">
        <w:t>ser fees for pregnant women and children</w:t>
      </w:r>
      <w:r>
        <w:t xml:space="preserve">, and increasing Government spending on public health services. With a large number of countries transitioning into lower middle income economies, there should be increased use of commitments such as the Abuja declaration of spending at least 15% of Government funding to health, in order to effectively reduce maternal and child deaths. Considerations of the use of </w:t>
      </w:r>
      <w:r w:rsidR="00306164">
        <w:t xml:space="preserve">innovative social insurance schemes to </w:t>
      </w:r>
      <w:r>
        <w:t xml:space="preserve">further </w:t>
      </w:r>
      <w:r w:rsidR="00306164">
        <w:t>finance health services</w:t>
      </w:r>
      <w:r>
        <w:t xml:space="preserve"> may be required</w:t>
      </w:r>
      <w:r w:rsidR="00306164">
        <w:t>.</w:t>
      </w:r>
      <w:r w:rsidR="001F630C">
        <w:t xml:space="preserve"> </w:t>
      </w:r>
    </w:p>
    <w:p w:rsidR="00306164" w:rsidRDefault="00306164" w:rsidP="007312F7">
      <w:pPr>
        <w:jc w:val="both"/>
      </w:pPr>
    </w:p>
    <w:p w:rsidR="00830585" w:rsidRDefault="00306164" w:rsidP="007312F7">
      <w:pPr>
        <w:jc w:val="both"/>
      </w:pPr>
      <w:r>
        <w:t>Maternal and Child Health will continue being a central issue for Africa, and it is imperative that strong political will, national ownership and support is maintained for MNCH in order to consolidate the gains</w:t>
      </w:r>
      <w:r w:rsidR="000F5508">
        <w:t xml:space="preserve"> made</w:t>
      </w:r>
      <w:r>
        <w:t xml:space="preserve">, complete the unfinished business </w:t>
      </w:r>
      <w:r w:rsidR="00830585">
        <w:t>and sustain momentum for the attainment of agenda 2063 aspirations.</w:t>
      </w:r>
    </w:p>
    <w:p w:rsidR="00306164" w:rsidRDefault="00306164" w:rsidP="007312F7">
      <w:pPr>
        <w:jc w:val="both"/>
      </w:pPr>
    </w:p>
    <w:p w:rsidR="00DD2A5A" w:rsidRDefault="00DD2A5A" w:rsidP="007312F7">
      <w:pPr>
        <w:jc w:val="both"/>
      </w:pPr>
    </w:p>
    <w:p w:rsidR="00DD2A5A" w:rsidRDefault="00DD2A5A" w:rsidP="007312F7">
      <w:pPr>
        <w:jc w:val="both"/>
      </w:pPr>
    </w:p>
    <w:p w:rsidR="005E2E1C" w:rsidRDefault="005E2E1C" w:rsidP="007312F7">
      <w:pPr>
        <w:jc w:val="both"/>
      </w:pPr>
    </w:p>
    <w:p w:rsidR="007C3884" w:rsidRDefault="007C3884" w:rsidP="007312F7">
      <w:pPr>
        <w:jc w:val="both"/>
      </w:pPr>
    </w:p>
    <w:p w:rsidR="00E04D5E" w:rsidRPr="008E028A" w:rsidRDefault="00373FF7" w:rsidP="007312F7">
      <w:pPr>
        <w:pStyle w:val="Heading1"/>
        <w:jc w:val="both"/>
        <w:rPr>
          <w:b/>
        </w:rPr>
      </w:pPr>
      <w:bookmarkStart w:id="3" w:name="_TOC14784"/>
      <w:bookmarkStart w:id="4" w:name="_Toc411525471"/>
      <w:bookmarkEnd w:id="3"/>
      <w:r w:rsidRPr="008E028A">
        <w:rPr>
          <w:b/>
        </w:rPr>
        <w:t>Introduction</w:t>
      </w:r>
      <w:bookmarkEnd w:id="4"/>
    </w:p>
    <w:p w:rsidR="007C3884" w:rsidRDefault="00990C79" w:rsidP="007312F7">
      <w:pPr>
        <w:jc w:val="both"/>
      </w:pPr>
      <w:r>
        <w:t>Maternal New</w:t>
      </w:r>
      <w:r w:rsidR="007312F7">
        <w:t>-</w:t>
      </w:r>
      <w:r>
        <w:t>born and Child Health (</w:t>
      </w:r>
      <w:r w:rsidR="00580193">
        <w:t>M</w:t>
      </w:r>
      <w:r w:rsidR="000C32F0">
        <w:t>NCH</w:t>
      </w:r>
      <w:r>
        <w:t>)</w:t>
      </w:r>
      <w:r w:rsidR="00580193">
        <w:t xml:space="preserve"> is of paramount importance in poverty r</w:t>
      </w:r>
      <w:r w:rsidR="004827BC">
        <w:t>eduction and a key strategy to attain</w:t>
      </w:r>
      <w:r w:rsidR="00580193">
        <w:t xml:space="preserve"> a healthy and productive population on the African continent. There have been significant achievements that have occurred across Africa to reduce maternal mortality and </w:t>
      </w:r>
      <w:r w:rsidR="00E86BD8">
        <w:t>morbidity</w:t>
      </w:r>
      <w:r w:rsidR="00580193">
        <w:t xml:space="preserve">, as well as improve </w:t>
      </w:r>
      <w:r w:rsidR="00B2555D">
        <w:t>new</w:t>
      </w:r>
      <w:r w:rsidR="007312F7">
        <w:t>-</w:t>
      </w:r>
      <w:r w:rsidR="00B2555D">
        <w:t>born</w:t>
      </w:r>
      <w:r w:rsidR="00580193">
        <w:t xml:space="preserve"> and child health; but formidable challenges still exist in the quest to end preventable maternal deaths on the continent by 2030.</w:t>
      </w:r>
      <w:r w:rsidR="0019371B">
        <w:t xml:space="preserve"> The bold undertaking and adoption of the eight M</w:t>
      </w:r>
      <w:r w:rsidR="000C32F0">
        <w:t>DGs</w:t>
      </w:r>
      <w:r w:rsidR="0019371B">
        <w:t xml:space="preserve"> in 2000 have provided the impetus for reducing maternal mortality and improving </w:t>
      </w:r>
      <w:r w:rsidR="00A67EBA">
        <w:t>c</w:t>
      </w:r>
      <w:r w:rsidR="0019371B">
        <w:t>hild health on the continent.</w:t>
      </w:r>
    </w:p>
    <w:p w:rsidR="007C3884" w:rsidRDefault="007C3884" w:rsidP="007312F7">
      <w:pPr>
        <w:jc w:val="both"/>
      </w:pPr>
    </w:p>
    <w:p w:rsidR="007C3884" w:rsidRDefault="00EC2F23" w:rsidP="007312F7">
      <w:pPr>
        <w:autoSpaceDE w:val="0"/>
        <w:autoSpaceDN w:val="0"/>
        <w:adjustRightInd w:val="0"/>
        <w:jc w:val="both"/>
        <w:rPr>
          <w:szCs w:val="21"/>
        </w:rPr>
      </w:pPr>
      <w:r>
        <w:rPr>
          <w:szCs w:val="21"/>
        </w:rPr>
        <w:t>In July 2010 in Kampala, Uganda,</w:t>
      </w:r>
      <w:r w:rsidR="004870A5" w:rsidRPr="0066132D">
        <w:rPr>
          <w:szCs w:val="21"/>
        </w:rPr>
        <w:t xml:space="preserve"> The African Union Commission </w:t>
      </w:r>
      <w:r w:rsidR="007805FC">
        <w:rPr>
          <w:szCs w:val="21"/>
        </w:rPr>
        <w:t>w</w:t>
      </w:r>
      <w:r w:rsidR="007805FC" w:rsidRPr="0066132D">
        <w:rPr>
          <w:szCs w:val="21"/>
        </w:rPr>
        <w:t xml:space="preserve">as </w:t>
      </w:r>
      <w:r w:rsidR="004870A5" w:rsidRPr="0066132D">
        <w:rPr>
          <w:szCs w:val="21"/>
        </w:rPr>
        <w:t xml:space="preserve">mandated by the African Union </w:t>
      </w:r>
      <w:r w:rsidR="007805FC">
        <w:rPr>
          <w:szCs w:val="21"/>
        </w:rPr>
        <w:t>Assembly</w:t>
      </w:r>
      <w:r w:rsidR="002E7DCA">
        <w:rPr>
          <w:szCs w:val="21"/>
        </w:rPr>
        <w:t xml:space="preserve"> </w:t>
      </w:r>
      <w:r w:rsidR="004870A5" w:rsidRPr="0066132D">
        <w:rPr>
          <w:szCs w:val="21"/>
        </w:rPr>
        <w:t xml:space="preserve">(under declaration Assembly/AU/Decl.1{XV}) to report annually on the status of </w:t>
      </w:r>
      <w:r w:rsidR="00482FD8">
        <w:rPr>
          <w:szCs w:val="21"/>
        </w:rPr>
        <w:t>MNCH</w:t>
      </w:r>
      <w:r w:rsidR="004870A5" w:rsidRPr="0066132D">
        <w:rPr>
          <w:szCs w:val="21"/>
        </w:rPr>
        <w:t xml:space="preserve"> in Africa until 2015. </w:t>
      </w:r>
      <w:r>
        <w:rPr>
          <w:szCs w:val="21"/>
        </w:rPr>
        <w:t xml:space="preserve">The Assembly recognised the </w:t>
      </w:r>
      <w:r w:rsidRPr="0066132D">
        <w:rPr>
          <w:szCs w:val="21"/>
        </w:rPr>
        <w:t xml:space="preserve">immense significance of </w:t>
      </w:r>
      <w:r>
        <w:rPr>
          <w:szCs w:val="21"/>
        </w:rPr>
        <w:t xml:space="preserve">MNCH on the continent, </w:t>
      </w:r>
      <w:r>
        <w:rPr>
          <w:rFonts w:ascii="Arial" w:hAnsi="Arial" w:cs="Arial"/>
          <w:sz w:val="24"/>
          <w:szCs w:val="24"/>
        </w:rPr>
        <w:t xml:space="preserve">but remained deeply concerned that Africa still had a disproportionately high level of maternal, newborn and child morbidity and mortality due largely to preventable causes. This high level commitment from the AU Assembly reaffirmed Heads of States </w:t>
      </w:r>
      <w:r w:rsidR="009205F1">
        <w:rPr>
          <w:rFonts w:ascii="Arial" w:hAnsi="Arial" w:cs="Arial"/>
          <w:sz w:val="24"/>
          <w:szCs w:val="24"/>
        </w:rPr>
        <w:t xml:space="preserve">commitment </w:t>
      </w:r>
      <w:r>
        <w:rPr>
          <w:rFonts w:ascii="Arial" w:hAnsi="Arial" w:cs="Arial"/>
          <w:sz w:val="24"/>
          <w:szCs w:val="24"/>
        </w:rPr>
        <w:t>to accelerate t</w:t>
      </w:r>
      <w:r w:rsidR="00302ED4">
        <w:rPr>
          <w:rFonts w:ascii="Arial" w:hAnsi="Arial" w:cs="Arial"/>
          <w:sz w:val="24"/>
          <w:szCs w:val="24"/>
        </w:rPr>
        <w:t xml:space="preserve">he </w:t>
      </w:r>
      <w:r>
        <w:rPr>
          <w:rFonts w:ascii="Arial" w:hAnsi="Arial" w:cs="Arial"/>
          <w:sz w:val="24"/>
          <w:szCs w:val="24"/>
        </w:rPr>
        <w:t>improve</w:t>
      </w:r>
      <w:r w:rsidR="00302ED4">
        <w:rPr>
          <w:rFonts w:ascii="Arial" w:hAnsi="Arial" w:cs="Arial"/>
          <w:sz w:val="24"/>
          <w:szCs w:val="24"/>
        </w:rPr>
        <w:t xml:space="preserve">ment </w:t>
      </w:r>
      <w:r>
        <w:rPr>
          <w:rFonts w:ascii="Arial" w:hAnsi="Arial" w:cs="Arial"/>
          <w:sz w:val="24"/>
          <w:szCs w:val="24"/>
        </w:rPr>
        <w:t>women and children</w:t>
      </w:r>
      <w:r w:rsidR="009205F1">
        <w:rPr>
          <w:rFonts w:ascii="Arial" w:hAnsi="Arial" w:cs="Arial"/>
          <w:sz w:val="24"/>
          <w:szCs w:val="24"/>
        </w:rPr>
        <w:t>’s health in the continent.</w:t>
      </w:r>
    </w:p>
    <w:p w:rsidR="00EC2F23" w:rsidRDefault="00EC2F23" w:rsidP="007312F7">
      <w:pPr>
        <w:jc w:val="both"/>
      </w:pPr>
    </w:p>
    <w:p w:rsidR="009205F1" w:rsidRDefault="000B0A29" w:rsidP="007312F7">
      <w:pPr>
        <w:jc w:val="both"/>
      </w:pPr>
      <w:r>
        <w:t>Strong political will and national ownership across the the African continent has resulted in impressive gains in child and maternal health. The number of</w:t>
      </w:r>
      <w:r w:rsidR="00302ED4">
        <w:t xml:space="preserve"> </w:t>
      </w:r>
      <w:r>
        <w:t>under</w:t>
      </w:r>
      <w:r w:rsidR="007312F7">
        <w:t>-</w:t>
      </w:r>
      <w:r>
        <w:t>five deaths worldwide has declined from</w:t>
      </w:r>
      <w:r w:rsidR="000B159A">
        <w:t xml:space="preserve"> 12.7 </w:t>
      </w:r>
      <w:r>
        <w:t>m</w:t>
      </w:r>
      <w:r w:rsidR="000B159A">
        <w:t xml:space="preserve">illion in 1990 to 6.3 </w:t>
      </w:r>
      <w:r>
        <w:t>million in 2013</w:t>
      </w:r>
      <w:r w:rsidR="00990C79">
        <w:t xml:space="preserve">. </w:t>
      </w:r>
      <w:r w:rsidR="009205F1">
        <w:t>Globally, four out of every five deaths of children under the age of five continue to occur in Africa South of the Sahara and Asia. Nearly half of all global under</w:t>
      </w:r>
      <w:r w:rsidR="007312F7">
        <w:t>-</w:t>
      </w:r>
      <w:r w:rsidR="009205F1">
        <w:t>five deaths in 2012 representing 3.2 million children occurred in Africa South of the Sahara</w:t>
      </w:r>
      <w:r w:rsidR="009205F1">
        <w:rPr>
          <w:vertAlign w:val="superscript"/>
        </w:rPr>
        <w:t>3</w:t>
      </w:r>
      <w:r w:rsidR="009205F1">
        <w:t xml:space="preserve">. The vast majority of these deaths are due to preventable or easily treatable causes such as pneumonia, diarrhoea, malaria; and early neonatal deaths, within 28 days of birth. </w:t>
      </w:r>
    </w:p>
    <w:p w:rsidR="009205F1" w:rsidRDefault="009205F1" w:rsidP="007312F7">
      <w:pPr>
        <w:jc w:val="both"/>
      </w:pPr>
    </w:p>
    <w:p w:rsidR="007C3884" w:rsidRDefault="007C3884" w:rsidP="007312F7">
      <w:pPr>
        <w:jc w:val="both"/>
      </w:pPr>
      <w:r>
        <w:t xml:space="preserve">Africa </w:t>
      </w:r>
      <w:r w:rsidR="009205F1">
        <w:t>excluding north Africa</w:t>
      </w:r>
      <w:r>
        <w:t xml:space="preserve">, has </w:t>
      </w:r>
      <w:r w:rsidR="00990C79">
        <w:t>accelerated</w:t>
      </w:r>
      <w:r w:rsidR="000B159A">
        <w:t xml:space="preserve"> the decline in under</w:t>
      </w:r>
      <w:r w:rsidR="007312F7">
        <w:t>-</w:t>
      </w:r>
      <w:r w:rsidR="00990C79">
        <w:t>five mortality rate with the</w:t>
      </w:r>
      <w:r w:rsidR="000B159A">
        <w:t xml:space="preserve"> average annual rate of reduction</w:t>
      </w:r>
      <w:r>
        <w:t xml:space="preserve"> </w:t>
      </w:r>
      <w:r w:rsidR="000B159A">
        <w:t xml:space="preserve">increasing from 0.8 percent in 1990 – 1995 to 4.2 percent in 2005 -2013 </w:t>
      </w:r>
      <w:r w:rsidR="00373FF7">
        <w:fldChar w:fldCharType="begin" w:fldLock="1"/>
      </w:r>
      <w:r w:rsidR="002B5AE4">
        <w:instrText>ADDIN CSL_CITATION { "citationItems" : [ { "id" : "ITEM-1", "itemData" : { "author" : [ { "dropping-particle" : "", "family" : "UNICEF", "given" : "", "non-dropping-particle" : "", "parse-names" : false, "suffix" : "" } ], "id" : "ITEM-1", "issued" : { "date-parts" : [ [ "2014" ] ] }, "title" : "Levels and Trends in Child Mortality Report 2014", "type" : "report" }, "uris" : [ "http://www.mendeley.com/documents/?uuid=4d4d7786-bdca-4634-9bee-37764c193f85" ] } ], "mendeley" : { "formattedCitation" : "&lt;sup&gt;1&lt;/sup&gt;", "plainTextFormattedCitation" : "1", "previouslyFormattedCitation" : "&lt;sup&gt;1&lt;/sup&gt;" }, "properties" : { "noteIndex" : 0 }, "schema" : "https://github.com/citation-style-language/schema/raw/master/csl-citation.json" }</w:instrText>
      </w:r>
      <w:r w:rsidR="00373FF7">
        <w:fldChar w:fldCharType="separate"/>
      </w:r>
      <w:r w:rsidR="00EB5A77" w:rsidRPr="00EB5A77">
        <w:rPr>
          <w:noProof/>
          <w:vertAlign w:val="superscript"/>
        </w:rPr>
        <w:t>1</w:t>
      </w:r>
      <w:r w:rsidR="00373FF7">
        <w:fldChar w:fldCharType="end"/>
      </w:r>
      <w:r w:rsidR="000B159A">
        <w:t>.</w:t>
      </w:r>
      <w:r w:rsidR="00CD128A">
        <w:t xml:space="preserve">The </w:t>
      </w:r>
      <w:r w:rsidR="00990C79">
        <w:t>fall in child mortality is</w:t>
      </w:r>
      <w:r w:rsidR="00CD128A">
        <w:t xml:space="preserve"> unprecedented, and shows the </w:t>
      </w:r>
      <w:r w:rsidR="007805FC">
        <w:t xml:space="preserve">enormous </w:t>
      </w:r>
      <w:r w:rsidR="00CD128A">
        <w:t xml:space="preserve">collective efforts </w:t>
      </w:r>
      <w:r w:rsidR="00917907">
        <w:t>invested</w:t>
      </w:r>
      <w:r w:rsidR="00CD128A">
        <w:t xml:space="preserve"> into improv</w:t>
      </w:r>
      <w:r w:rsidR="009205F1">
        <w:t>ing</w:t>
      </w:r>
      <w:r w:rsidR="00CD128A">
        <w:t xml:space="preserve"> child health</w:t>
      </w:r>
      <w:r w:rsidR="00FC3602">
        <w:t xml:space="preserve">. Despite these improvements, an unacceptable number of children </w:t>
      </w:r>
      <w:r>
        <w:t xml:space="preserve">continue to die </w:t>
      </w:r>
      <w:r w:rsidR="00B2555D">
        <w:t>from</w:t>
      </w:r>
      <w:r w:rsidR="00FC3602">
        <w:t xml:space="preserve"> causes that could be easily prevent</w:t>
      </w:r>
      <w:r w:rsidR="009205F1">
        <w:t>ed</w:t>
      </w:r>
      <w:r w:rsidR="00FC3602">
        <w:t xml:space="preserve">. </w:t>
      </w:r>
      <w:r>
        <w:t xml:space="preserve">To achieve MDG 4, </w:t>
      </w:r>
      <w:r w:rsidR="0019371B">
        <w:t>an annual rate of reduction of at least 4.4</w:t>
      </w:r>
      <w:r w:rsidR="002E7DCA">
        <w:t xml:space="preserve"> percent </w:t>
      </w:r>
      <w:r w:rsidR="00990C79">
        <w:t xml:space="preserve">between </w:t>
      </w:r>
      <w:r w:rsidR="0019371B">
        <w:t>1990–2015 was required</w:t>
      </w:r>
      <w:r w:rsidR="00E463C5">
        <w:t>.</w:t>
      </w:r>
      <w:r>
        <w:t xml:space="preserve"> Very f</w:t>
      </w:r>
      <w:r w:rsidR="0019371B">
        <w:t xml:space="preserve">ew </w:t>
      </w:r>
      <w:r>
        <w:t xml:space="preserve">countries in Africa South of the Sahara </w:t>
      </w:r>
      <w:r w:rsidR="0019371B">
        <w:t xml:space="preserve">were able to reach and maintain </w:t>
      </w:r>
      <w:r w:rsidR="00E463C5">
        <w:t xml:space="preserve">this rate </w:t>
      </w:r>
      <w:r w:rsidR="00373FF7">
        <w:fldChar w:fldCharType="begin" w:fldLock="1"/>
      </w:r>
      <w:r w:rsidR="002B5AE4">
        <w:instrText>ADDIN CSL_CITATION { "citationItems" : [ { "id" : "ITEM-1", "itemData" : { "author" : [ { "dropping-particle" : "", "family" : "UNICEF", "given" : "", "non-dropping-particle" : "", "parse-names" : false, "suffix" : "" }, { "dropping-particle" : "", "family" : "World Health Organisation", "given" : "", "non-dropping-particle" : "", "parse-names" : false, "suffix" : "" } ], "id" : "ITEM-1", "issued" : { "date-parts" : [ [ "2014" ] ] }, "title" : "Fulfilling the Health Agenda for Women and Children The 2014 Report", "type" : "report" }, "uris" : [ "http://www.mendeley.com/documents/?uuid=a619a5ce-a3b7-42ac-a31c-7a9b499cd62e" ] } ], "mendeley" : { "formattedCitation" : "&lt;sup&gt;2&lt;/sup&gt;", "plainTextFormattedCitation" : "2", "previouslyFormattedCitation" : "&lt;sup&gt;2&lt;/sup&gt;" }, "properties" : { "noteIndex" : 0 }, "schema" : "https://github.com/citation-style-language/schema/raw/master/csl-citation.json" }</w:instrText>
      </w:r>
      <w:r w:rsidR="00373FF7">
        <w:fldChar w:fldCharType="separate"/>
      </w:r>
      <w:r w:rsidR="00EB5A77" w:rsidRPr="00EB5A77">
        <w:rPr>
          <w:noProof/>
          <w:vertAlign w:val="superscript"/>
        </w:rPr>
        <w:t>2</w:t>
      </w:r>
      <w:r w:rsidR="00373FF7">
        <w:fldChar w:fldCharType="end"/>
      </w:r>
      <w:r w:rsidR="00330B36">
        <w:t xml:space="preserve">. </w:t>
      </w:r>
    </w:p>
    <w:p w:rsidR="007C3884" w:rsidRDefault="007C3884" w:rsidP="007312F7">
      <w:pPr>
        <w:jc w:val="both"/>
      </w:pPr>
    </w:p>
    <w:p w:rsidR="007C3884" w:rsidRDefault="00036ADC" w:rsidP="007312F7">
      <w:pPr>
        <w:jc w:val="both"/>
      </w:pPr>
      <w:r>
        <w:t>Similarly, there has been firm</w:t>
      </w:r>
      <w:r w:rsidR="00077ACB">
        <w:t>, but slower</w:t>
      </w:r>
      <w:r>
        <w:t xml:space="preserve"> progress in the reduction of m</w:t>
      </w:r>
      <w:r w:rsidR="007A6FDB">
        <w:t xml:space="preserve">aternal mortality on the continent. The </w:t>
      </w:r>
      <w:r w:rsidR="00990C79">
        <w:t>Maternal Mortality Ratio (</w:t>
      </w:r>
      <w:r w:rsidR="00A67EBA">
        <w:t>M</w:t>
      </w:r>
      <w:r w:rsidR="000C32F0">
        <w:t>MR</w:t>
      </w:r>
      <w:r w:rsidR="00990C79">
        <w:t>)</w:t>
      </w:r>
      <w:r w:rsidR="007A6FDB">
        <w:t xml:space="preserve"> in Africa </w:t>
      </w:r>
      <w:r w:rsidR="00990C79">
        <w:t>was</w:t>
      </w:r>
      <w:r w:rsidR="007A6FDB">
        <w:t xml:space="preserve"> reduced by over 42 percent during the period 1990 – 2010, from 745 deaths per 100,000 live births to 429 </w:t>
      </w:r>
      <w:r w:rsidR="00373FF7">
        <w:fldChar w:fldCharType="begin" w:fldLock="1"/>
      </w:r>
      <w:r w:rsidR="007D14FF">
        <w:instrText>ADDIN CSL_CITATION { "citationItems" : [ { "id" : "ITEM-1", "itemData" : { "author" : [ { "dropping-particle" : "", "family" : "United Nations Economic Commission for Africa", "given" : "", "non-dropping-particle" : "", "parse-names" : false, "suffix" : "" } ], "id" : "ITEM-1", "issued" : { "date-parts" : [ [ "2013" ] ] }, "title" : "MDG Report 2013: Assessing Africa's Progress towards the Millenium Development Goals", "type" : "report" }, "uris" : [ "http://www.mendeley.com/documents/?uuid=0493af9a-8ae6-4252-aeb0-b47975f92685" ] } ], "mendeley" : { "formattedCitation" : "&lt;sup&gt;3&lt;/sup&gt;", "plainTextFormattedCitation" : "3", "previouslyFormattedCitation" : "&lt;sup&gt;3&lt;/sup&gt;" }, "properties" : { "noteIndex" : 0 }, "schema" : "https://github.com/citation-style-language/schema/raw/master/csl-citation.json" }</w:instrText>
      </w:r>
      <w:r w:rsidR="00373FF7">
        <w:fldChar w:fldCharType="separate"/>
      </w:r>
      <w:r w:rsidR="00403380" w:rsidRPr="00403380">
        <w:rPr>
          <w:noProof/>
          <w:vertAlign w:val="superscript"/>
        </w:rPr>
        <w:t>3</w:t>
      </w:r>
      <w:r w:rsidR="00373FF7">
        <w:fldChar w:fldCharType="end"/>
      </w:r>
      <w:r w:rsidR="007A6FDB">
        <w:t xml:space="preserve">. </w:t>
      </w:r>
      <w:r w:rsidR="00990C79">
        <w:t>However, t</w:t>
      </w:r>
      <w:r w:rsidR="00077ACB">
        <w:t xml:space="preserve">he average rate of reduction of </w:t>
      </w:r>
      <w:r w:rsidR="00990C79">
        <w:t>MMR</w:t>
      </w:r>
      <w:r w:rsidR="00077ACB">
        <w:t xml:space="preserve"> still lags at 3.1% per </w:t>
      </w:r>
      <w:r w:rsidR="007312F7">
        <w:t>year, which</w:t>
      </w:r>
      <w:r w:rsidR="00F17654">
        <w:t xml:space="preserve"> is</w:t>
      </w:r>
      <w:r w:rsidR="00077ACB">
        <w:t xml:space="preserve"> variable across the continent</w:t>
      </w:r>
      <w:r w:rsidR="00990C79">
        <w:t>. T</w:t>
      </w:r>
      <w:r w:rsidR="00077ACB">
        <w:t>h</w:t>
      </w:r>
      <w:r w:rsidR="00E463C5">
        <w:t>is rate is far below th</w:t>
      </w:r>
      <w:r w:rsidR="00077ACB">
        <w:t xml:space="preserve">e rate of </w:t>
      </w:r>
      <w:r w:rsidR="00E463C5">
        <w:t xml:space="preserve">5.5% </w:t>
      </w:r>
      <w:r w:rsidR="00077ACB">
        <w:t>required to meet the MDG 5 goals</w:t>
      </w:r>
      <w:r w:rsidR="00373FF7">
        <w:fldChar w:fldCharType="begin" w:fldLock="1"/>
      </w:r>
      <w:r w:rsidR="002B5AE4">
        <w:instrText>ADDIN CSL_CITATION { "citationItems" : [ { "id" : "ITEM-1", "itemData" : { "author" : [ { "dropping-particle" : "", "family" : "UNICEF", "given" : "", "non-dropping-particle" : "", "parse-names" : false, "suffix" : "" }, { "dropping-particle" : "", "family" : "World Health Organisation", "given" : "", "non-dropping-particle" : "", "parse-names" : false, "suffix" : "" } ], "id" : "ITEM-1", "issued" : { "date-parts" : [ [ "2014" ] ] }, "title" : "Fulfilling the Health Agenda for Women and Children The 2014 Report", "type" : "report" }, "uris" : [ "http://www.mendeley.com/documents/?uuid=a619a5ce-a3b7-42ac-a31c-7a9b499cd62e" ] } ], "mendeley" : { "formattedCitation" : "&lt;sup&gt;2&lt;/sup&gt;", "plainTextFormattedCitation" : "2", "previouslyFormattedCitation" : "&lt;sup&gt;2&lt;/sup&gt;" }, "properties" : { "noteIndex" : 0 }, "schema" : "https://github.com/citation-style-language/schema/raw/master/csl-citation.json" }</w:instrText>
      </w:r>
      <w:r w:rsidR="00373FF7">
        <w:fldChar w:fldCharType="separate"/>
      </w:r>
      <w:r w:rsidR="00EB5A77" w:rsidRPr="00EB5A77">
        <w:rPr>
          <w:noProof/>
          <w:vertAlign w:val="superscript"/>
        </w:rPr>
        <w:t>2</w:t>
      </w:r>
      <w:r w:rsidR="00373FF7">
        <w:fldChar w:fldCharType="end"/>
      </w:r>
      <w:r w:rsidR="00077ACB">
        <w:t xml:space="preserve">. </w:t>
      </w:r>
      <w:r w:rsidR="00990C79">
        <w:t>The MMR</w:t>
      </w:r>
      <w:r w:rsidR="001B21DC">
        <w:t xml:space="preserve"> on the </w:t>
      </w:r>
      <w:r w:rsidR="007A5327">
        <w:t>continent</w:t>
      </w:r>
      <w:r w:rsidR="001B21DC">
        <w:t xml:space="preserve"> remains exceedingly high. The </w:t>
      </w:r>
      <w:r w:rsidR="00A67EBA">
        <w:t>M</w:t>
      </w:r>
      <w:r w:rsidR="000C32F0">
        <w:t>MR</w:t>
      </w:r>
      <w:r w:rsidR="001B21DC">
        <w:t xml:space="preserve"> in developing regions—230 maternal deaths per 100,000 live births in 2013—was fourteen times higher than that of developed regions; and </w:t>
      </w:r>
      <w:r w:rsidR="00F17654">
        <w:t xml:space="preserve">Africa South of the Sahara </w:t>
      </w:r>
      <w:r w:rsidR="001B21DC">
        <w:t xml:space="preserve">had the highest </w:t>
      </w:r>
      <w:r w:rsidR="00A67EBA">
        <w:t>M</w:t>
      </w:r>
      <w:r w:rsidR="000C32F0">
        <w:t>MR</w:t>
      </w:r>
      <w:r w:rsidR="001B21DC">
        <w:t xml:space="preserve"> of </w:t>
      </w:r>
      <w:r w:rsidR="00990C79">
        <w:t xml:space="preserve">all developing regions - </w:t>
      </w:r>
      <w:r w:rsidR="001B21DC">
        <w:t>510 deaths per 100,000 live births</w:t>
      </w:r>
      <w:r w:rsidR="00373FF7">
        <w:fldChar w:fldCharType="begin" w:fldLock="1"/>
      </w:r>
      <w:r w:rsidR="007D14FF">
        <w:instrText>ADDIN CSL_CITATION { "citationItems" : [ { "id" : "ITEM-1", "itemData" : { "author" : [ { "dropping-particle" : "", "family" : "United Nations", "given" : "", "non-dropping-particle" : "", "parse-names" : false, "suffix" : "" } ], "id" : "ITEM-1", "issued" : { "date-parts" : [ [ "2014" ] ] }, "title" : "The Millennium Development Goals Report 2014", "type" : "report" }, "uris" : [ "http://www.mendeley.com/documents/?uuid=9522a525-dd39-4bc9-baf0-deb15a248a77" ] } ], "mendeley" : { "formattedCitation" : "&lt;sup&gt;4&lt;/sup&gt;", "plainTextFormattedCitation" : "4", "previouslyFormattedCitation" : "&lt;sup&gt;4&lt;/sup&gt;" }, "properties" : { "noteIndex" : 0 }, "schema" : "https://github.com/citation-style-language/schema/raw/master/csl-citation.json" }</w:instrText>
      </w:r>
      <w:r w:rsidR="00373FF7">
        <w:fldChar w:fldCharType="separate"/>
      </w:r>
      <w:r w:rsidR="00403380" w:rsidRPr="00403380">
        <w:rPr>
          <w:noProof/>
          <w:vertAlign w:val="superscript"/>
        </w:rPr>
        <w:t>4</w:t>
      </w:r>
      <w:r w:rsidR="00373FF7">
        <w:fldChar w:fldCharType="end"/>
      </w:r>
      <w:r w:rsidR="00077ACB">
        <w:t xml:space="preserve">. Most of the </w:t>
      </w:r>
      <w:r w:rsidR="00077ACB">
        <w:lastRenderedPageBreak/>
        <w:t xml:space="preserve">maternal deaths were </w:t>
      </w:r>
      <w:r w:rsidR="00990C79">
        <w:t xml:space="preserve">due to </w:t>
      </w:r>
      <w:r w:rsidR="00077ACB">
        <w:t xml:space="preserve">preventable causes. </w:t>
      </w:r>
      <w:r w:rsidR="00990C79">
        <w:t>Unskilled personnel attended the vast majority of births on the African continent. I</w:t>
      </w:r>
      <w:r w:rsidR="00D635FD">
        <w:t xml:space="preserve">t is estimated that less than half of births were attended by skilled health </w:t>
      </w:r>
      <w:r w:rsidR="00B2555D">
        <w:t>personnel</w:t>
      </w:r>
      <w:r w:rsidR="00B2555D">
        <w:rPr>
          <w:vertAlign w:val="superscript"/>
        </w:rPr>
        <w:t>4</w:t>
      </w:r>
      <w:r w:rsidR="00B2555D">
        <w:t>.</w:t>
      </w:r>
      <w:r w:rsidR="00D635FD">
        <w:t xml:space="preserve"> The lack of skilled personnel </w:t>
      </w:r>
      <w:r w:rsidR="000E0F39">
        <w:t xml:space="preserve">has </w:t>
      </w:r>
      <w:r w:rsidR="00D635FD">
        <w:t xml:space="preserve">contributed significantly to the high burden of maternal deaths in Africa. </w:t>
      </w:r>
      <w:r w:rsidR="00990C79">
        <w:t>The main causes of maternal death include</w:t>
      </w:r>
      <w:r w:rsidR="00D635FD">
        <w:t xml:space="preserve"> postpartum haemorrhage, infection, pregnancy related hypertensive disorders, unsafe abortion, and obstructed labour. A focus on these factors is critical to Africa’s vision of ending preventable maternal deaths by 2030.</w:t>
      </w:r>
    </w:p>
    <w:p w:rsidR="007C3884" w:rsidRDefault="007C3884" w:rsidP="007312F7">
      <w:pPr>
        <w:jc w:val="both"/>
      </w:pPr>
    </w:p>
    <w:p w:rsidR="00890AA5" w:rsidRDefault="00890AA5" w:rsidP="007312F7">
      <w:pPr>
        <w:jc w:val="both"/>
      </w:pPr>
      <w:r>
        <w:t xml:space="preserve">There have been key </w:t>
      </w:r>
      <w:r w:rsidR="00086276">
        <w:t xml:space="preserve">continental policies </w:t>
      </w:r>
      <w:r w:rsidR="00ED5CC0">
        <w:t xml:space="preserve">and programmes </w:t>
      </w:r>
      <w:r w:rsidR="00086276">
        <w:t>that have spurred greater fo</w:t>
      </w:r>
      <w:r w:rsidR="00990C79">
        <w:t>cus on MNCH</w:t>
      </w:r>
      <w:r w:rsidR="00086276">
        <w:t xml:space="preserve"> on the continent. These include the </w:t>
      </w:r>
      <w:r w:rsidR="00ED5CC0">
        <w:t xml:space="preserve">Sexual and Reproductive Health and Rights </w:t>
      </w:r>
      <w:r w:rsidR="00086276">
        <w:t xml:space="preserve">Continental </w:t>
      </w:r>
      <w:r w:rsidR="00ED5CC0">
        <w:t xml:space="preserve">Policy </w:t>
      </w:r>
      <w:r w:rsidR="00086276">
        <w:t xml:space="preserve">Framework </w:t>
      </w:r>
      <w:r w:rsidR="00ED5CC0">
        <w:t xml:space="preserve">(2005)and the </w:t>
      </w:r>
      <w:r w:rsidR="00086276">
        <w:t xml:space="preserve">Maputo Plan of Action </w:t>
      </w:r>
      <w:r w:rsidR="00ED5CC0">
        <w:t xml:space="preserve">for its operationalization </w:t>
      </w:r>
      <w:r w:rsidR="00086276">
        <w:t xml:space="preserve">in 2006; the launch of the Campaign for the Accelerated Reduction of Maternal Mortality in Africa (CARMMA) in 2009. These </w:t>
      </w:r>
      <w:r w:rsidR="00D4383E">
        <w:t xml:space="preserve">initiatives </w:t>
      </w:r>
      <w:r w:rsidR="00086276">
        <w:t xml:space="preserve">set the stage for the achievements in the </w:t>
      </w:r>
      <w:r w:rsidR="000A403C">
        <w:t xml:space="preserve">period </w:t>
      </w:r>
      <w:r w:rsidR="00086276">
        <w:t xml:space="preserve">2010 – </w:t>
      </w:r>
      <w:r w:rsidR="00B2555D">
        <w:t>2014</w:t>
      </w:r>
      <w:r w:rsidR="00086276">
        <w:t xml:space="preserve">. More </w:t>
      </w:r>
      <w:r w:rsidR="00400A7F">
        <w:t>importantly</w:t>
      </w:r>
      <w:r w:rsidR="00086276">
        <w:t>,</w:t>
      </w:r>
      <w:r w:rsidR="000A403C">
        <w:t xml:space="preserve"> </w:t>
      </w:r>
      <w:r w:rsidR="00990C79">
        <w:t>MNCH</w:t>
      </w:r>
      <w:r w:rsidR="000A403C">
        <w:t xml:space="preserve"> </w:t>
      </w:r>
      <w:r w:rsidR="00086276">
        <w:t>is</w:t>
      </w:r>
      <w:r w:rsidR="001B2F1C">
        <w:t xml:space="preserve"> </w:t>
      </w:r>
      <w:r w:rsidR="00420B36">
        <w:t>articulated</w:t>
      </w:r>
      <w:r w:rsidR="00086276">
        <w:t xml:space="preserve"> in the A</w:t>
      </w:r>
      <w:r w:rsidR="000C32F0">
        <w:t>U</w:t>
      </w:r>
      <w:r w:rsidR="000A403C">
        <w:t xml:space="preserve"> </w:t>
      </w:r>
      <w:r w:rsidR="004A0B88">
        <w:t>Agenda</w:t>
      </w:r>
      <w:r w:rsidR="004870A5">
        <w:t xml:space="preserve"> 2063</w:t>
      </w:r>
      <w:r w:rsidR="00400A7F">
        <w:t xml:space="preserve"> and Common African Position on post 2015 Agenda.</w:t>
      </w:r>
      <w:r w:rsidR="00403380">
        <w:t xml:space="preserve"> The Abuja Declaration of 2001 pledged to increase government funding for health to at least 15%, and urged donor countries to scale up support. While few countries met the Abuja declaration target, the median level of real per capital government spending from domestic resources on health increased from US$ 9.4 to US$ 13.4 over the decade</w:t>
      </w:r>
      <w:r w:rsidR="00403380">
        <w:fldChar w:fldCharType="begin" w:fldLock="1"/>
      </w:r>
      <w:r w:rsidR="007D14FF">
        <w:instrText>ADDIN CSL_CITATION { "citationItems" : [ { "id" : "ITEM-1", "itemData" : { "author" : [ { "dropping-particle" : "", "family" : "World Health Organisation", "given" : "", "non-dropping-particle" : "", "parse-names" : false, "suffix" : "" } ], "id" : "ITEM-1", "issued" : { "date-parts" : [ [ "0" ] ] }, "title" : "Abuja Declaration: Ten Years on", "type" : "report" }, "uris" : [ "http://www.mendeley.com/documents/?uuid=3d0c34af-d32d-4329-ac3c-ef60c84ccc78" ] } ], "mendeley" : { "formattedCitation" : "&lt;sup&gt;5&lt;/sup&gt;", "plainTextFormattedCitation" : "5", "previouslyFormattedCitation" : "&lt;sup&gt;5&lt;/sup&gt;" }, "properties" : { "noteIndex" : 0 }, "schema" : "https://github.com/citation-style-language/schema/raw/master/csl-citation.json" }</w:instrText>
      </w:r>
      <w:r w:rsidR="00403380">
        <w:fldChar w:fldCharType="separate"/>
      </w:r>
      <w:r w:rsidR="00403380" w:rsidRPr="00403380">
        <w:rPr>
          <w:noProof/>
          <w:vertAlign w:val="superscript"/>
        </w:rPr>
        <w:t>5</w:t>
      </w:r>
      <w:r w:rsidR="00403380">
        <w:fldChar w:fldCharType="end"/>
      </w:r>
      <w:r w:rsidR="00403380">
        <w:t>. The Abuja declaration also galvanised international commitment to funding health interventions. The African Regional Nutrition Strategy 2005 -2015 advocates and sensitises Africa’s leaders about the essential role of food and nutrition security in the overall socio-economic development of the continent</w:t>
      </w:r>
      <w:r w:rsidR="007D14FF">
        <w:fldChar w:fldCharType="begin" w:fldLock="1"/>
      </w:r>
      <w:r w:rsidR="00B56F2B">
        <w:instrText>ADDIN CSL_CITATION { "citationItems" : [ { "id" : "ITEM-1", "itemData" : { "author" : [ { "dropping-particle" : "", "family" : "African Union Commission", "given" : "", "non-dropping-particle" : "", "parse-names" : false, "suffix" : "" } ], "id" : "ITEM-1", "issued" : { "date-parts" : [ [ "0" ] ] }, "title" : "AFRICAN REGIONAL NUTRITIONAL STRATEGY 2005 - 2015", "type" : "report" }, "uris" : [ "http://www.mendeley.com/documents/?uuid=1594cc2e-fb40-4deb-85d8-02333e18e198" ] } ], "mendeley" : { "formattedCitation" : "&lt;sup&gt;6&lt;/sup&gt;", "plainTextFormattedCitation" : "6", "previouslyFormattedCitation" : "&lt;sup&gt;6&lt;/sup&gt;" }, "properties" : { "noteIndex" : 0 }, "schema" : "https://github.com/citation-style-language/schema/raw/master/csl-citation.json" }</w:instrText>
      </w:r>
      <w:r w:rsidR="007D14FF">
        <w:fldChar w:fldCharType="separate"/>
      </w:r>
      <w:r w:rsidR="007D14FF" w:rsidRPr="007D14FF">
        <w:rPr>
          <w:noProof/>
          <w:vertAlign w:val="superscript"/>
        </w:rPr>
        <w:t>6</w:t>
      </w:r>
      <w:r w:rsidR="007D14FF">
        <w:fldChar w:fldCharType="end"/>
      </w:r>
      <w:r w:rsidR="007D14FF">
        <w:t>. Nutrition has immense importance on both maternal and child health.</w:t>
      </w:r>
    </w:p>
    <w:p w:rsidR="00BE5FF3" w:rsidRDefault="00BE5FF3" w:rsidP="007312F7">
      <w:pPr>
        <w:jc w:val="both"/>
      </w:pPr>
    </w:p>
    <w:p w:rsidR="00BE5FF3" w:rsidRDefault="00BE5FF3" w:rsidP="007312F7">
      <w:pPr>
        <w:jc w:val="both"/>
      </w:pPr>
      <w:r>
        <w:t xml:space="preserve">The African Union has been in the forefront in creating conducive policy environment to accelerate the improvement of maternal and child health in the continent. </w:t>
      </w:r>
      <w:r w:rsidRPr="00373FF7">
        <w:t>Recogni</w:t>
      </w:r>
      <w:r>
        <w:t>s</w:t>
      </w:r>
      <w:r w:rsidRPr="00373FF7">
        <w:t xml:space="preserve">ing that African countries were unlikely to achieve the Millennium Development Goals (MDGs) without significant improvements in the sexual and reproductive health, the AUC formulated and adopted in 2005 the Sexual and Reproductive Health and Rights (SRHR) </w:t>
      </w:r>
      <w:r w:rsidRPr="00FC68D5">
        <w:t xml:space="preserve">Continental Policy Framework </w:t>
      </w:r>
      <w:r w:rsidRPr="00373FF7">
        <w:t>and adopted in 2006 the Maputo Plan of Action (MPoA) 2007 - 2010 for its operationali</w:t>
      </w:r>
      <w:r>
        <w:t>s</w:t>
      </w:r>
      <w:r w:rsidRPr="00373FF7">
        <w:t>ation.</w:t>
      </w:r>
      <w:r>
        <w:t xml:space="preserve"> </w:t>
      </w:r>
      <w:r w:rsidRPr="00373FF7">
        <w:t>The ultimate goal of the Maputo Plan of Action is to ensure African governments, civil society, the private sector and all development partners join forces and redouble efforts, so that together the effective implementation of the continental policy</w:t>
      </w:r>
      <w:r>
        <w:t xml:space="preserve"> framework </w:t>
      </w:r>
      <w:r w:rsidRPr="00373FF7">
        <w:t>including universal access to sexual and reproductive health by 2015 in all countries in Africa can be achieved</w:t>
      </w:r>
      <w:r>
        <w:t>.</w:t>
      </w:r>
      <w:r w:rsidR="008461D2">
        <w:t xml:space="preserve"> </w:t>
      </w:r>
    </w:p>
    <w:p w:rsidR="00BE5FF3" w:rsidRDefault="00BE5FF3" w:rsidP="007312F7">
      <w:pPr>
        <w:jc w:val="both"/>
      </w:pPr>
    </w:p>
    <w:p w:rsidR="00BE5FF3" w:rsidRDefault="00BE5FF3" w:rsidP="007312F7">
      <w:pPr>
        <w:jc w:val="both"/>
      </w:pPr>
      <w:r>
        <w:t>The main challenges and lessons most countries have encountered in implementing the MPoA relate to inadequate resources, weak health systems, inequities in access to services, a weak multi-sector response, inadequate data, and national development plans that do not prioritise health. CARMMA was inspired by concern over the slow progress African nations were making in reducing maternal mortality to meet the MDG targets. There was also growing concern about new challenges to social development and women’s health including threats from the global financial crisis, unpredictable future funding, climate change, and food crises.</w:t>
      </w:r>
    </w:p>
    <w:p w:rsidR="00BE5FF3" w:rsidRDefault="00BE5FF3" w:rsidP="007312F7">
      <w:pPr>
        <w:jc w:val="both"/>
      </w:pPr>
    </w:p>
    <w:p w:rsidR="00BE5FF3" w:rsidRDefault="00BE5FF3" w:rsidP="007312F7">
      <w:pPr>
        <w:jc w:val="both"/>
      </w:pPr>
      <w:r>
        <w:t>CARMMA has played a significant role in garnering political will and high level advocacy. Since its launch</w:t>
      </w:r>
      <w:r w:rsidRPr="003463DF">
        <w:t>, 4</w:t>
      </w:r>
      <w:r>
        <w:t xml:space="preserve">4 </w:t>
      </w:r>
      <w:r w:rsidRPr="003463DF">
        <w:t xml:space="preserve">African countries have </w:t>
      </w:r>
      <w:r>
        <w:t>launched the campaign at national level</w:t>
      </w:r>
      <w:r w:rsidRPr="003463DF">
        <w:t xml:space="preserve">. </w:t>
      </w:r>
      <w:r>
        <w:t>Activities of the campaign include mobilising the necessary political will to make the lives of women count, coordinating and harmonising interventions around country led plans</w:t>
      </w:r>
      <w:r w:rsidR="00B2555D">
        <w:t xml:space="preserve"> and </w:t>
      </w:r>
      <w:r>
        <w:t>roadmaps and supporting ongoing efforts and initiatives to improve MNCH.</w:t>
      </w:r>
    </w:p>
    <w:p w:rsidR="00BE5FF3" w:rsidRDefault="00BE5FF3" w:rsidP="007312F7">
      <w:pPr>
        <w:jc w:val="both"/>
      </w:pPr>
    </w:p>
    <w:p w:rsidR="00BE5FF3" w:rsidRDefault="00BE5FF3" w:rsidP="007312F7">
      <w:pPr>
        <w:jc w:val="both"/>
      </w:pPr>
      <w:r>
        <w:lastRenderedPageBreak/>
        <w:t>The campaign is anchored on three main priorities – positive messaging, sharing good practices and lessons learned, and intensification of programme and communication activities aimed at reducing maternal, newborn and child mortality in Africa. The campaign currently focuses on four key areas:</w:t>
      </w:r>
    </w:p>
    <w:p w:rsidR="00BE5FF3" w:rsidRDefault="00BE5FF3" w:rsidP="007312F7">
      <w:pPr>
        <w:jc w:val="both"/>
      </w:pPr>
    </w:p>
    <w:p w:rsidR="00BE5FF3" w:rsidRPr="008E16AB" w:rsidRDefault="00BE5FF3" w:rsidP="007312F7">
      <w:pPr>
        <w:pStyle w:val="ListParagraph"/>
        <w:numPr>
          <w:ilvl w:val="0"/>
          <w:numId w:val="6"/>
        </w:numPr>
        <w:jc w:val="both"/>
      </w:pPr>
      <w:r>
        <w:t>Building on existing efforts, particularly best practices</w:t>
      </w:r>
    </w:p>
    <w:p w:rsidR="00BE5FF3" w:rsidRPr="008E16AB" w:rsidRDefault="00BE5FF3" w:rsidP="007312F7">
      <w:pPr>
        <w:pStyle w:val="ListParagraph"/>
        <w:numPr>
          <w:ilvl w:val="0"/>
          <w:numId w:val="6"/>
        </w:numPr>
        <w:jc w:val="both"/>
      </w:pPr>
      <w:r>
        <w:t>Generating and providing data on maternal and newborn deaths</w:t>
      </w:r>
    </w:p>
    <w:p w:rsidR="00BE5FF3" w:rsidRPr="008E16AB" w:rsidRDefault="00BE5FF3" w:rsidP="007312F7">
      <w:pPr>
        <w:pStyle w:val="ListParagraph"/>
        <w:numPr>
          <w:ilvl w:val="0"/>
          <w:numId w:val="6"/>
        </w:numPr>
        <w:jc w:val="both"/>
      </w:pPr>
      <w:r>
        <w:t>Soliciting stakeholder goodwill, increasing political commitment, and mobilising domestic resources in support of maternal and newborn health</w:t>
      </w:r>
    </w:p>
    <w:p w:rsidR="00BE5FF3" w:rsidRPr="008E16AB" w:rsidRDefault="00BE5FF3" w:rsidP="007312F7">
      <w:pPr>
        <w:pStyle w:val="ListParagraph"/>
        <w:numPr>
          <w:ilvl w:val="0"/>
          <w:numId w:val="6"/>
        </w:numPr>
        <w:jc w:val="both"/>
      </w:pPr>
      <w:r>
        <w:t>Accelerating actions to reduce maternal and infant mortality in Africa.</w:t>
      </w:r>
    </w:p>
    <w:p w:rsidR="00BE5FF3" w:rsidRDefault="00BE5FF3" w:rsidP="007312F7">
      <w:pPr>
        <w:jc w:val="both"/>
      </w:pPr>
    </w:p>
    <w:p w:rsidR="00BE5FF3" w:rsidRDefault="00BE5FF3" w:rsidP="007312F7">
      <w:pPr>
        <w:ind w:left="90"/>
        <w:jc w:val="both"/>
      </w:pPr>
      <w:r>
        <w:t>The campaign has generated a wealth of information on MNCH in Africa, including best practice, most recent data sets from Member States, and the country MNCH scorecards that provide snapshots of the MNCH status in Member States. Country scorecards are included in this report in Annex A.</w:t>
      </w:r>
    </w:p>
    <w:p w:rsidR="007C3884" w:rsidRDefault="007C3884" w:rsidP="007312F7">
      <w:pPr>
        <w:ind w:left="90"/>
        <w:jc w:val="both"/>
      </w:pPr>
    </w:p>
    <w:p w:rsidR="007C3884" w:rsidRPr="008E16AB" w:rsidRDefault="004870A5" w:rsidP="007312F7">
      <w:pPr>
        <w:jc w:val="both"/>
        <w:rPr>
          <w:highlight w:val="yellow"/>
        </w:rPr>
      </w:pPr>
      <w:r>
        <w:t xml:space="preserve">This report will detail and review the status of MNCH on the continent from 2010 – 2014. </w:t>
      </w:r>
      <w:r w:rsidR="00420B36">
        <w:t>It</w:t>
      </w:r>
      <w:r>
        <w:t xml:space="preserve"> will give a brief summary of the key policies and tools that have been critical to MNCH during 2010 – 14; </w:t>
      </w:r>
      <w:r w:rsidR="00BE5FF3">
        <w:t>and a</w:t>
      </w:r>
      <w:r w:rsidR="00420B36">
        <w:t xml:space="preserve"> </w:t>
      </w:r>
      <w:r>
        <w:t xml:space="preserve">review </w:t>
      </w:r>
      <w:r w:rsidR="00BE5FF3">
        <w:t xml:space="preserve">of </w:t>
      </w:r>
      <w:r>
        <w:t xml:space="preserve">the status of neonatal and child health; maternal health, </w:t>
      </w:r>
      <w:r w:rsidR="000C32F0">
        <w:t>SRHR</w:t>
      </w:r>
      <w:r>
        <w:t>; and give recommendations on how to further position MNCH in order to attain the goal of ending preventable maternal deaths by 2030.</w:t>
      </w:r>
    </w:p>
    <w:p w:rsidR="004870A5" w:rsidRDefault="004870A5" w:rsidP="007312F7">
      <w:pPr>
        <w:jc w:val="both"/>
      </w:pPr>
    </w:p>
    <w:p w:rsidR="00D635FD" w:rsidRDefault="00D635FD" w:rsidP="007312F7">
      <w:pPr>
        <w:jc w:val="both"/>
      </w:pPr>
    </w:p>
    <w:p w:rsidR="004870A5" w:rsidRPr="008E16AB" w:rsidRDefault="004870A5" w:rsidP="007312F7">
      <w:pPr>
        <w:jc w:val="both"/>
        <w:rPr>
          <w:i/>
        </w:rPr>
      </w:pPr>
      <w:r w:rsidRPr="008E16AB">
        <w:rPr>
          <w:i/>
        </w:rPr>
        <w:br w:type="page"/>
      </w:r>
    </w:p>
    <w:p w:rsidR="00DD6622" w:rsidRPr="008E16AB" w:rsidRDefault="00DD6622" w:rsidP="007312F7">
      <w:pPr>
        <w:jc w:val="both"/>
        <w:rPr>
          <w:highlight w:val="yellow"/>
        </w:rPr>
      </w:pPr>
    </w:p>
    <w:p w:rsidR="009E31FF" w:rsidRDefault="00FC589A" w:rsidP="007312F7">
      <w:pPr>
        <w:pStyle w:val="Heading1"/>
        <w:jc w:val="both"/>
      </w:pPr>
      <w:bookmarkStart w:id="5" w:name="_Toc411525472"/>
      <w:r>
        <w:rPr>
          <w:noProof/>
          <w:lang w:val="en-US"/>
        </w:rPr>
        <mc:AlternateContent>
          <mc:Choice Requires="wps">
            <w:drawing>
              <wp:anchor distT="91440" distB="91440" distL="114300" distR="114300" simplePos="0" relativeHeight="251659264" behindDoc="0" locked="0" layoutInCell="0" allowOverlap="1" wp14:anchorId="68D080CE" wp14:editId="21EA4557">
                <wp:simplePos x="0" y="0"/>
                <wp:positionH relativeFrom="page">
                  <wp:align>left</wp:align>
                </wp:positionH>
                <wp:positionV relativeFrom="margin">
                  <wp:align>center</wp:align>
                </wp:positionV>
                <wp:extent cx="2616200" cy="9801860"/>
                <wp:effectExtent l="38100" t="38100" r="97155" b="96520"/>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16200" cy="9801860"/>
                        </a:xfrm>
                        <a:prstGeom prst="rect">
                          <a:avLst/>
                        </a:prstGeom>
                        <a:solidFill>
                          <a:srgbClr val="4F81BD"/>
                        </a:solidFill>
                        <a:effectLst>
                          <a:outerShdw blurRad="50800" dist="38100" dir="2700000" algn="tl" rotWithShape="0">
                            <a:prstClr val="black">
                              <a:alpha val="40000"/>
                            </a:prst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7312F7" w:rsidRDefault="007312F7" w:rsidP="005A0221">
                            <w:pPr>
                              <w:rPr>
                                <w:color w:val="FFFFFF" w:themeColor="background1"/>
                                <w:sz w:val="18"/>
                                <w:szCs w:val="18"/>
                              </w:rPr>
                            </w:pPr>
                            <w:r>
                              <w:rPr>
                                <w:color w:val="FFFFFF" w:themeColor="background1"/>
                                <w:sz w:val="18"/>
                                <w:szCs w:val="18"/>
                              </w:rPr>
                              <w:t>Summary</w:t>
                            </w:r>
                          </w:p>
                          <w:p w:rsidR="007312F7" w:rsidRDefault="007312F7" w:rsidP="005A0221">
                            <w:pPr>
                              <w:pStyle w:val="ListParagraph"/>
                              <w:numPr>
                                <w:ilvl w:val="0"/>
                                <w:numId w:val="8"/>
                              </w:numPr>
                              <w:rPr>
                                <w:color w:val="FFFFFF" w:themeColor="background1"/>
                                <w:sz w:val="18"/>
                                <w:szCs w:val="18"/>
                              </w:rPr>
                            </w:pPr>
                            <w:r w:rsidRPr="005A0221">
                              <w:rPr>
                                <w:color w:val="FFFFFF" w:themeColor="background1"/>
                                <w:sz w:val="18"/>
                                <w:szCs w:val="18"/>
                              </w:rPr>
                              <w:t xml:space="preserve">There </w:t>
                            </w:r>
                            <w:r>
                              <w:rPr>
                                <w:color w:val="FFFFFF" w:themeColor="background1"/>
                                <w:sz w:val="18"/>
                                <w:szCs w:val="18"/>
                              </w:rPr>
                              <w:t>have been dramatic declines in u</w:t>
                            </w:r>
                            <w:r w:rsidRPr="005A0221">
                              <w:rPr>
                                <w:color w:val="FFFFFF" w:themeColor="background1"/>
                                <w:sz w:val="18"/>
                                <w:szCs w:val="18"/>
                              </w:rPr>
                              <w:t>nderfive mortality from levels seen in 1990</w:t>
                            </w:r>
                          </w:p>
                          <w:p w:rsidR="007312F7" w:rsidRPr="005A0221" w:rsidRDefault="007312F7" w:rsidP="005A0221">
                            <w:pPr>
                              <w:pStyle w:val="ListParagraph"/>
                              <w:numPr>
                                <w:ilvl w:val="0"/>
                                <w:numId w:val="8"/>
                              </w:numPr>
                              <w:rPr>
                                <w:color w:val="FFFFFF" w:themeColor="background1"/>
                                <w:sz w:val="18"/>
                                <w:szCs w:val="18"/>
                              </w:rPr>
                            </w:pPr>
                            <w:r>
                              <w:rPr>
                                <w:color w:val="FFFFFF" w:themeColor="background1"/>
                                <w:sz w:val="18"/>
                                <w:szCs w:val="18"/>
                              </w:rPr>
                              <w:t>Africa South of the Sahara has seen underfive mortality decline</w:t>
                            </w:r>
                            <w:r w:rsidRPr="005A0221">
                              <w:rPr>
                                <w:color w:val="FFFFFF" w:themeColor="background1"/>
                                <w:sz w:val="18"/>
                                <w:szCs w:val="18"/>
                              </w:rPr>
                              <w:t xml:space="preserve"> from an average 177 per 1000 live births in 1990 to 98 per 1000 live births</w:t>
                            </w:r>
                            <w:r>
                              <w:rPr>
                                <w:color w:val="FFFFFF" w:themeColor="background1"/>
                                <w:sz w:val="18"/>
                                <w:szCs w:val="18"/>
                              </w:rPr>
                              <w:t xml:space="preserve"> in 2013</w:t>
                            </w:r>
                          </w:p>
                          <w:p w:rsidR="007312F7" w:rsidRDefault="007312F7" w:rsidP="005A0221">
                            <w:pPr>
                              <w:pStyle w:val="ListParagraph"/>
                              <w:numPr>
                                <w:ilvl w:val="0"/>
                                <w:numId w:val="8"/>
                              </w:numPr>
                              <w:rPr>
                                <w:color w:val="FFFFFF" w:themeColor="background1"/>
                                <w:sz w:val="18"/>
                                <w:szCs w:val="18"/>
                              </w:rPr>
                            </w:pPr>
                            <w:r>
                              <w:rPr>
                                <w:color w:val="FFFFFF" w:themeColor="background1"/>
                                <w:sz w:val="18"/>
                                <w:szCs w:val="18"/>
                              </w:rPr>
                              <w:t>Despite fall in underfive mortality, there has been very little change in the neonatal mortality rate. The contribution of neonatal deaths to underfive mortality has increased from 37% in 1990 to 44 percent in 2013</w:t>
                            </w:r>
                          </w:p>
                          <w:p w:rsidR="007312F7" w:rsidRDefault="007312F7" w:rsidP="00AB09DA">
                            <w:pPr>
                              <w:pStyle w:val="ListParagraph"/>
                              <w:numPr>
                                <w:ilvl w:val="0"/>
                                <w:numId w:val="8"/>
                              </w:numPr>
                              <w:rPr>
                                <w:color w:val="FFFFFF" w:themeColor="background1"/>
                                <w:sz w:val="18"/>
                                <w:szCs w:val="18"/>
                              </w:rPr>
                            </w:pPr>
                            <w:r w:rsidRPr="00AB09DA">
                              <w:rPr>
                                <w:color w:val="FFFFFF" w:themeColor="background1"/>
                                <w:sz w:val="18"/>
                                <w:szCs w:val="18"/>
                              </w:rPr>
                              <w:t xml:space="preserve">The leading causes of death among children under age five include preterm birth complications (17 percent of under five deaths), pneumonia (15 percent), intrapartum-related complications </w:t>
                            </w:r>
                            <w:r>
                              <w:rPr>
                                <w:color w:val="FFFFFF" w:themeColor="background1"/>
                                <w:sz w:val="18"/>
                                <w:szCs w:val="18"/>
                              </w:rPr>
                              <w:t>(</w:t>
                            </w:r>
                            <w:r w:rsidRPr="00AB09DA">
                              <w:rPr>
                                <w:color w:val="FFFFFF" w:themeColor="background1"/>
                                <w:sz w:val="18"/>
                                <w:szCs w:val="18"/>
                              </w:rPr>
                              <w:t>11 percent), diarrhoea (9 percent) and malaria (7 percent). Globally, nearly half of underfive deaths are attributable to undernutrition</w:t>
                            </w:r>
                          </w:p>
                          <w:p w:rsidR="007312F7" w:rsidRDefault="007312F7" w:rsidP="00AB09DA">
                            <w:pPr>
                              <w:pStyle w:val="ListParagraph"/>
                              <w:numPr>
                                <w:ilvl w:val="0"/>
                                <w:numId w:val="8"/>
                              </w:numPr>
                              <w:rPr>
                                <w:color w:val="FFFFFF" w:themeColor="background1"/>
                                <w:sz w:val="18"/>
                                <w:szCs w:val="18"/>
                              </w:rPr>
                            </w:pPr>
                            <w:r w:rsidRPr="00AB09DA">
                              <w:rPr>
                                <w:color w:val="FFFFFF" w:themeColor="background1"/>
                                <w:sz w:val="18"/>
                                <w:szCs w:val="18"/>
                              </w:rPr>
                              <w:t>Globally, five countries (India, Nigeria, Pakistan, Democratic Republic of the Congo and China) account for 50 percent of the worldwide deaths of children under five</w:t>
                            </w:r>
                          </w:p>
                          <w:p w:rsidR="007312F7" w:rsidRPr="005A0221" w:rsidRDefault="007312F7" w:rsidP="00AB09DA">
                            <w:pPr>
                              <w:pStyle w:val="ListParagraph"/>
                              <w:numPr>
                                <w:ilvl w:val="0"/>
                                <w:numId w:val="8"/>
                              </w:numPr>
                              <w:rPr>
                                <w:color w:val="FFFFFF" w:themeColor="background1"/>
                                <w:sz w:val="18"/>
                                <w:szCs w:val="18"/>
                              </w:rPr>
                            </w:pPr>
                            <w:r w:rsidRPr="00AB09DA">
                              <w:rPr>
                                <w:color w:val="FFFFFF" w:themeColor="background1"/>
                                <w:sz w:val="18"/>
                                <w:szCs w:val="18"/>
                              </w:rPr>
                              <w:t xml:space="preserve">By the end of 2013, </w:t>
                            </w:r>
                            <w:r>
                              <w:rPr>
                                <w:color w:val="FFFFFF" w:themeColor="background1"/>
                                <w:sz w:val="18"/>
                                <w:szCs w:val="18"/>
                              </w:rPr>
                              <w:t xml:space="preserve">6 </w:t>
                            </w:r>
                            <w:r w:rsidRPr="00AB09DA">
                              <w:rPr>
                                <w:color w:val="FFFFFF" w:themeColor="background1"/>
                                <w:sz w:val="18"/>
                                <w:szCs w:val="18"/>
                              </w:rPr>
                              <w:t>Africa</w:t>
                            </w:r>
                            <w:r>
                              <w:rPr>
                                <w:color w:val="FFFFFF" w:themeColor="background1"/>
                                <w:sz w:val="18"/>
                                <w:szCs w:val="18"/>
                              </w:rPr>
                              <w:t xml:space="preserve">n </w:t>
                            </w:r>
                            <w:r w:rsidRPr="00AB09DA">
                              <w:rPr>
                                <w:color w:val="FFFFFF" w:themeColor="background1"/>
                                <w:sz w:val="18"/>
                                <w:szCs w:val="18"/>
                              </w:rPr>
                              <w:t>countries (Egypt, Liberia and Tunisia</w:t>
                            </w:r>
                            <w:r>
                              <w:rPr>
                                <w:color w:val="FFFFFF" w:themeColor="background1"/>
                                <w:sz w:val="18"/>
                                <w:szCs w:val="18"/>
                              </w:rPr>
                              <w:t>, Ethiopia, Malawi and Tanzania</w:t>
                            </w:r>
                            <w:r w:rsidRPr="00AB09DA">
                              <w:rPr>
                                <w:color w:val="FFFFFF" w:themeColor="background1"/>
                                <w:sz w:val="18"/>
                                <w:szCs w:val="18"/>
                              </w:rPr>
                              <w:t xml:space="preserve">) </w:t>
                            </w:r>
                            <w:r>
                              <w:rPr>
                                <w:color w:val="FFFFFF" w:themeColor="background1"/>
                                <w:sz w:val="18"/>
                                <w:szCs w:val="18"/>
                              </w:rPr>
                              <w:t>had met the targets of MDG 4</w:t>
                            </w:r>
                          </w:p>
                          <w:p w:rsidR="007312F7" w:rsidRDefault="007312F7" w:rsidP="005A0221">
                            <w:pPr>
                              <w:rPr>
                                <w:color w:val="FFFFFF" w:themeColor="background1"/>
                                <w:sz w:val="18"/>
                                <w:szCs w:val="18"/>
                              </w:rPr>
                            </w:pPr>
                          </w:p>
                          <w:p w:rsidR="007312F7" w:rsidRDefault="007312F7" w:rsidP="005A0221">
                            <w:pPr>
                              <w:rPr>
                                <w:color w:val="FFFFFF" w:themeColor="background1"/>
                                <w:sz w:val="18"/>
                                <w:szCs w:val="18"/>
                              </w:rPr>
                            </w:pPr>
                            <w:r>
                              <w:rPr>
                                <w:color w:val="FFFFFF" w:themeColor="background1"/>
                                <w:sz w:val="18"/>
                                <w:szCs w:val="18"/>
                              </w:rPr>
                              <w:t xml:space="preserve">Policy and Programme Considerations </w:t>
                            </w:r>
                          </w:p>
                          <w:p w:rsidR="007312F7" w:rsidRDefault="007312F7" w:rsidP="00AB09DA">
                            <w:pPr>
                              <w:pStyle w:val="ListParagraph"/>
                              <w:numPr>
                                <w:ilvl w:val="0"/>
                                <w:numId w:val="9"/>
                              </w:numPr>
                              <w:rPr>
                                <w:color w:val="FFFFFF" w:themeColor="background1"/>
                                <w:sz w:val="18"/>
                                <w:szCs w:val="18"/>
                              </w:rPr>
                            </w:pPr>
                            <w:r w:rsidRPr="00AB09DA">
                              <w:rPr>
                                <w:color w:val="FFFFFF" w:themeColor="background1"/>
                                <w:sz w:val="18"/>
                                <w:szCs w:val="18"/>
                              </w:rPr>
                              <w:t xml:space="preserve">Emphasis </w:t>
                            </w:r>
                            <w:r>
                              <w:rPr>
                                <w:color w:val="FFFFFF" w:themeColor="background1"/>
                                <w:sz w:val="18"/>
                                <w:szCs w:val="18"/>
                              </w:rPr>
                              <w:t xml:space="preserve">should be placed </w:t>
                            </w:r>
                            <w:r w:rsidRPr="00AB09DA">
                              <w:rPr>
                                <w:color w:val="FFFFFF" w:themeColor="background1"/>
                                <w:sz w:val="18"/>
                                <w:szCs w:val="18"/>
                              </w:rPr>
                              <w:t>on neonatal health and intrapartum care</w:t>
                            </w:r>
                          </w:p>
                          <w:p w:rsidR="007312F7" w:rsidRDefault="007312F7" w:rsidP="00AB09DA">
                            <w:pPr>
                              <w:pStyle w:val="ListParagraph"/>
                              <w:numPr>
                                <w:ilvl w:val="0"/>
                                <w:numId w:val="9"/>
                              </w:numPr>
                              <w:rPr>
                                <w:color w:val="FFFFFF" w:themeColor="background1"/>
                                <w:sz w:val="18"/>
                                <w:szCs w:val="18"/>
                              </w:rPr>
                            </w:pPr>
                            <w:r>
                              <w:rPr>
                                <w:color w:val="FFFFFF" w:themeColor="background1"/>
                                <w:sz w:val="18"/>
                                <w:szCs w:val="18"/>
                              </w:rPr>
                              <w:t xml:space="preserve">Increase the delivery of babies </w:t>
                            </w:r>
                            <w:r w:rsidRPr="00AB09DA">
                              <w:rPr>
                                <w:color w:val="FFFFFF" w:themeColor="background1"/>
                                <w:sz w:val="18"/>
                                <w:szCs w:val="18"/>
                              </w:rPr>
                              <w:t>by skilled attendants</w:t>
                            </w:r>
                          </w:p>
                          <w:p w:rsidR="007312F7" w:rsidRDefault="007312F7" w:rsidP="008A5EC2">
                            <w:pPr>
                              <w:pStyle w:val="ListParagraph"/>
                              <w:numPr>
                                <w:ilvl w:val="0"/>
                                <w:numId w:val="9"/>
                              </w:numPr>
                              <w:rPr>
                                <w:color w:val="FFFFFF" w:themeColor="background1"/>
                                <w:sz w:val="18"/>
                                <w:szCs w:val="18"/>
                              </w:rPr>
                            </w:pPr>
                            <w:r>
                              <w:rPr>
                                <w:color w:val="FFFFFF" w:themeColor="background1"/>
                                <w:sz w:val="18"/>
                                <w:szCs w:val="18"/>
                              </w:rPr>
                              <w:t>Maintain focus and support to i</w:t>
                            </w:r>
                            <w:r w:rsidRPr="008A5EC2">
                              <w:rPr>
                                <w:color w:val="FFFFFF" w:themeColor="background1"/>
                                <w:sz w:val="18"/>
                                <w:szCs w:val="18"/>
                              </w:rPr>
                              <w:t>mmunisation programmes</w:t>
                            </w:r>
                          </w:p>
                          <w:p w:rsidR="007312F7" w:rsidRDefault="007312F7" w:rsidP="008A5EC2">
                            <w:pPr>
                              <w:pStyle w:val="ListParagraph"/>
                              <w:numPr>
                                <w:ilvl w:val="0"/>
                                <w:numId w:val="9"/>
                              </w:numPr>
                              <w:rPr>
                                <w:color w:val="FFFFFF" w:themeColor="background1"/>
                                <w:sz w:val="18"/>
                                <w:szCs w:val="18"/>
                              </w:rPr>
                            </w:pPr>
                            <w:r>
                              <w:rPr>
                                <w:color w:val="FFFFFF" w:themeColor="background1"/>
                                <w:sz w:val="18"/>
                                <w:szCs w:val="18"/>
                              </w:rPr>
                              <w:t>Promote i</w:t>
                            </w:r>
                            <w:r w:rsidRPr="008A5EC2">
                              <w:rPr>
                                <w:color w:val="FFFFFF" w:themeColor="background1"/>
                                <w:sz w:val="18"/>
                                <w:szCs w:val="18"/>
                              </w:rPr>
                              <w:t>ntegrated management of childhood illness</w:t>
                            </w:r>
                          </w:p>
                          <w:p w:rsidR="007312F7" w:rsidRDefault="007312F7" w:rsidP="008A5EC2">
                            <w:pPr>
                              <w:pStyle w:val="ListParagraph"/>
                              <w:numPr>
                                <w:ilvl w:val="0"/>
                                <w:numId w:val="9"/>
                              </w:numPr>
                              <w:rPr>
                                <w:color w:val="FFFFFF" w:themeColor="background1"/>
                                <w:sz w:val="18"/>
                                <w:szCs w:val="18"/>
                              </w:rPr>
                            </w:pPr>
                            <w:r>
                              <w:rPr>
                                <w:color w:val="FFFFFF" w:themeColor="background1"/>
                                <w:sz w:val="18"/>
                                <w:szCs w:val="18"/>
                              </w:rPr>
                              <w:t>Emphasise the importance  of c</w:t>
                            </w:r>
                            <w:r w:rsidRPr="008A5EC2">
                              <w:rPr>
                                <w:color w:val="FFFFFF" w:themeColor="background1"/>
                                <w:sz w:val="18"/>
                                <w:szCs w:val="18"/>
                              </w:rPr>
                              <w:t>ommunity mobilisation and responses</w:t>
                            </w:r>
                          </w:p>
                          <w:p w:rsidR="007312F7" w:rsidRDefault="007312F7" w:rsidP="008A5EC2">
                            <w:pPr>
                              <w:pStyle w:val="ListParagraph"/>
                              <w:numPr>
                                <w:ilvl w:val="0"/>
                                <w:numId w:val="9"/>
                              </w:numPr>
                              <w:rPr>
                                <w:color w:val="FFFFFF" w:themeColor="background1"/>
                                <w:sz w:val="18"/>
                                <w:szCs w:val="18"/>
                              </w:rPr>
                            </w:pPr>
                            <w:r w:rsidRPr="008A5EC2">
                              <w:rPr>
                                <w:color w:val="FFFFFF" w:themeColor="background1"/>
                                <w:sz w:val="18"/>
                                <w:szCs w:val="18"/>
                              </w:rPr>
                              <w:t>Emphasise the importance of nutrition</w:t>
                            </w:r>
                            <w:r>
                              <w:rPr>
                                <w:color w:val="FFFFFF" w:themeColor="background1"/>
                                <w:sz w:val="18"/>
                                <w:szCs w:val="18"/>
                              </w:rPr>
                              <w:t xml:space="preserve"> as a child survival intervention</w:t>
                            </w:r>
                          </w:p>
                          <w:p w:rsidR="007312F7" w:rsidRDefault="007312F7" w:rsidP="008A5EC2">
                            <w:pPr>
                              <w:pStyle w:val="ListParagraph"/>
                              <w:numPr>
                                <w:ilvl w:val="0"/>
                                <w:numId w:val="9"/>
                              </w:numPr>
                              <w:rPr>
                                <w:color w:val="FFFFFF" w:themeColor="background1"/>
                                <w:sz w:val="18"/>
                                <w:szCs w:val="18"/>
                              </w:rPr>
                            </w:pPr>
                            <w:r w:rsidRPr="008A5EC2">
                              <w:rPr>
                                <w:color w:val="FFFFFF" w:themeColor="background1"/>
                                <w:sz w:val="18"/>
                                <w:szCs w:val="18"/>
                              </w:rPr>
                              <w:t>Ensure mothers survive</w:t>
                            </w:r>
                          </w:p>
                          <w:p w:rsidR="007312F7" w:rsidRPr="00AB09DA" w:rsidRDefault="007312F7" w:rsidP="008A5EC2">
                            <w:pPr>
                              <w:pStyle w:val="ListParagraph"/>
                              <w:numPr>
                                <w:ilvl w:val="0"/>
                                <w:numId w:val="9"/>
                              </w:numPr>
                              <w:rPr>
                                <w:color w:val="FFFFFF" w:themeColor="background1"/>
                                <w:sz w:val="18"/>
                                <w:szCs w:val="18"/>
                              </w:rPr>
                            </w:pPr>
                            <w:r>
                              <w:rPr>
                                <w:color w:val="FFFFFF" w:themeColor="background1"/>
                                <w:sz w:val="18"/>
                                <w:szCs w:val="18"/>
                              </w:rPr>
                              <w:t xml:space="preserve">Consideration of crosscutting development interventions particularly education </w:t>
                            </w:r>
                          </w:p>
                        </w:txbxContent>
                      </wps:txbx>
                      <wps:bodyPr rot="0" vert="horz" wrap="square" lIns="274320" tIns="274320" rIns="274320" bIns="274320" anchor="t" anchorCtr="0" upright="1">
                        <a:noAutofit/>
                      </wps:bodyPr>
                    </wps:wsp>
                  </a:graphicData>
                </a:graphic>
                <wp14:sizeRelH relativeFrom="page">
                  <wp14:pctWidth>35000</wp14:pctWidth>
                </wp14:sizeRelH>
                <wp14:sizeRelV relativeFrom="margin">
                  <wp14:pctHeight>100000</wp14:pctHeight>
                </wp14:sizeRelV>
              </wp:anchor>
            </w:drawing>
          </mc:Choice>
          <mc:Fallback>
            <w:pict>
              <v:rect w14:anchorId="68D080CE" id="Rectangle 397" o:spid="_x0000_s1026" style="position:absolute;left:0;text-align:left;margin-left:0;margin-top:0;width:206pt;height:771.8pt;flip:x;z-index:251659264;visibility:visible;mso-wrap-style:square;mso-width-percent:350;mso-height-percent:1000;mso-wrap-distance-left:9pt;mso-wrap-distance-top:7.2pt;mso-wrap-distance-right:9pt;mso-wrap-distance-bottom:7.2pt;mso-position-horizontal:left;mso-position-horizontal-relative:page;mso-position-vertical:center;mso-position-vertical-relative:margin;mso-width-percent:35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" o:allowincell="f" fillcolor="#4f81bd" stroked="f" strokeweight="1.5pt">
                <v:shadow on="t" color="black" opacity="26214f" origin="-.5,-.5" offset=".74836mm,.74836mm"/>
                <v:textbox inset="21.6pt,21.6pt,21.6pt,21.6pt">
                  <w:txbxContent>
                    <w:p w:rsidR="007312F7" w:rsidRDefault="007312F7" w:rsidP="005A0221">
                      <w:pPr>
                        <w:rPr>
                          <w:color w:val="FFFFFF" w:themeColor="background1"/>
                          <w:sz w:val="18"/>
                          <w:szCs w:val="18"/>
                        </w:rPr>
                      </w:pPr>
                      <w:r>
                        <w:rPr>
                          <w:color w:val="FFFFFF" w:themeColor="background1"/>
                          <w:sz w:val="18"/>
                          <w:szCs w:val="18"/>
                        </w:rPr>
                        <w:t>Summary</w:t>
                      </w:r>
                    </w:p>
                    <w:p w:rsidR="007312F7" w:rsidRDefault="007312F7" w:rsidP="005A0221">
                      <w:pPr>
                        <w:pStyle w:val="ListParagraph"/>
                        <w:numPr>
                          <w:ilvl w:val="0"/>
                          <w:numId w:val="8"/>
                        </w:numPr>
                        <w:rPr>
                          <w:color w:val="FFFFFF" w:themeColor="background1"/>
                          <w:sz w:val="18"/>
                          <w:szCs w:val="18"/>
                        </w:rPr>
                      </w:pPr>
                      <w:r w:rsidRPr="005A0221">
                        <w:rPr>
                          <w:color w:val="FFFFFF" w:themeColor="background1"/>
                          <w:sz w:val="18"/>
                          <w:szCs w:val="18"/>
                        </w:rPr>
                        <w:t xml:space="preserve">There </w:t>
                      </w:r>
                      <w:r>
                        <w:rPr>
                          <w:color w:val="FFFFFF" w:themeColor="background1"/>
                          <w:sz w:val="18"/>
                          <w:szCs w:val="18"/>
                        </w:rPr>
                        <w:t>have been dramatic declines in u</w:t>
                      </w:r>
                      <w:r w:rsidRPr="005A0221">
                        <w:rPr>
                          <w:color w:val="FFFFFF" w:themeColor="background1"/>
                          <w:sz w:val="18"/>
                          <w:szCs w:val="18"/>
                        </w:rPr>
                        <w:t>nderfive mortality from levels seen in 1990</w:t>
                      </w:r>
                    </w:p>
                    <w:p w:rsidR="007312F7" w:rsidRPr="005A0221" w:rsidRDefault="007312F7" w:rsidP="005A0221">
                      <w:pPr>
                        <w:pStyle w:val="ListParagraph"/>
                        <w:numPr>
                          <w:ilvl w:val="0"/>
                          <w:numId w:val="8"/>
                        </w:numPr>
                        <w:rPr>
                          <w:color w:val="FFFFFF" w:themeColor="background1"/>
                          <w:sz w:val="18"/>
                          <w:szCs w:val="18"/>
                        </w:rPr>
                      </w:pPr>
                      <w:r>
                        <w:rPr>
                          <w:color w:val="FFFFFF" w:themeColor="background1"/>
                          <w:sz w:val="18"/>
                          <w:szCs w:val="18"/>
                        </w:rPr>
                        <w:t>Africa South of the Sahara has seen underfive mortality decline</w:t>
                      </w:r>
                      <w:r w:rsidRPr="005A0221">
                        <w:rPr>
                          <w:color w:val="FFFFFF" w:themeColor="background1"/>
                          <w:sz w:val="18"/>
                          <w:szCs w:val="18"/>
                        </w:rPr>
                        <w:t xml:space="preserve"> from an average 177 per 1000 live births in 1990 to 98 per 1000 live births</w:t>
                      </w:r>
                      <w:r>
                        <w:rPr>
                          <w:color w:val="FFFFFF" w:themeColor="background1"/>
                          <w:sz w:val="18"/>
                          <w:szCs w:val="18"/>
                        </w:rPr>
                        <w:t xml:space="preserve"> in 2013</w:t>
                      </w:r>
                    </w:p>
                    <w:p w:rsidR="007312F7" w:rsidRDefault="007312F7" w:rsidP="005A0221">
                      <w:pPr>
                        <w:pStyle w:val="ListParagraph"/>
                        <w:numPr>
                          <w:ilvl w:val="0"/>
                          <w:numId w:val="8"/>
                        </w:numPr>
                        <w:rPr>
                          <w:color w:val="FFFFFF" w:themeColor="background1"/>
                          <w:sz w:val="18"/>
                          <w:szCs w:val="18"/>
                        </w:rPr>
                      </w:pPr>
                      <w:r>
                        <w:rPr>
                          <w:color w:val="FFFFFF" w:themeColor="background1"/>
                          <w:sz w:val="18"/>
                          <w:szCs w:val="18"/>
                        </w:rPr>
                        <w:t>Despite fall in underfive mortality, there has been very little change in the neonatal mortality rate. The contribution of neonatal deaths to underfive mortality has increased from 37% in 1990 to 44 percent in 2013</w:t>
                      </w:r>
                    </w:p>
                    <w:p w:rsidR="007312F7" w:rsidRDefault="007312F7" w:rsidP="00AB09DA">
                      <w:pPr>
                        <w:pStyle w:val="ListParagraph"/>
                        <w:numPr>
                          <w:ilvl w:val="0"/>
                          <w:numId w:val="8"/>
                        </w:numPr>
                        <w:rPr>
                          <w:color w:val="FFFFFF" w:themeColor="background1"/>
                          <w:sz w:val="18"/>
                          <w:szCs w:val="18"/>
                        </w:rPr>
                      </w:pPr>
                      <w:r w:rsidRPr="00AB09DA">
                        <w:rPr>
                          <w:color w:val="FFFFFF" w:themeColor="background1"/>
                          <w:sz w:val="18"/>
                          <w:szCs w:val="18"/>
                        </w:rPr>
                        <w:t xml:space="preserve">The leading causes of death among children under age five include preterm birth complications (17 percent of under five deaths), pneumonia (15 percent), intrapartum-related complications </w:t>
                      </w:r>
                      <w:r>
                        <w:rPr>
                          <w:color w:val="FFFFFF" w:themeColor="background1"/>
                          <w:sz w:val="18"/>
                          <w:szCs w:val="18"/>
                        </w:rPr>
                        <w:t>(</w:t>
                      </w:r>
                      <w:r w:rsidRPr="00AB09DA">
                        <w:rPr>
                          <w:color w:val="FFFFFF" w:themeColor="background1"/>
                          <w:sz w:val="18"/>
                          <w:szCs w:val="18"/>
                        </w:rPr>
                        <w:t>11 percent), diarrhoea (9 percent) and malaria (7 percent). Globally, nearly half of underfive deaths are attributable to undernutrition</w:t>
                      </w:r>
                    </w:p>
                    <w:p w:rsidR="007312F7" w:rsidRDefault="007312F7" w:rsidP="00AB09DA">
                      <w:pPr>
                        <w:pStyle w:val="ListParagraph"/>
                        <w:numPr>
                          <w:ilvl w:val="0"/>
                          <w:numId w:val="8"/>
                        </w:numPr>
                        <w:rPr>
                          <w:color w:val="FFFFFF" w:themeColor="background1"/>
                          <w:sz w:val="18"/>
                          <w:szCs w:val="18"/>
                        </w:rPr>
                      </w:pPr>
                      <w:r w:rsidRPr="00AB09DA">
                        <w:rPr>
                          <w:color w:val="FFFFFF" w:themeColor="background1"/>
                          <w:sz w:val="18"/>
                          <w:szCs w:val="18"/>
                        </w:rPr>
                        <w:t>Globally, five countries (India, Nigeria, Pakistan, Democratic Republic of the Congo and China) account for 50 percent of the worldwide deaths of children under five</w:t>
                      </w:r>
                    </w:p>
                    <w:p w:rsidR="007312F7" w:rsidRPr="005A0221" w:rsidRDefault="007312F7" w:rsidP="00AB09DA">
                      <w:pPr>
                        <w:pStyle w:val="ListParagraph"/>
                        <w:numPr>
                          <w:ilvl w:val="0"/>
                          <w:numId w:val="8"/>
                        </w:numPr>
                        <w:rPr>
                          <w:color w:val="FFFFFF" w:themeColor="background1"/>
                          <w:sz w:val="18"/>
                          <w:szCs w:val="18"/>
                        </w:rPr>
                      </w:pPr>
                      <w:r w:rsidRPr="00AB09DA">
                        <w:rPr>
                          <w:color w:val="FFFFFF" w:themeColor="background1"/>
                          <w:sz w:val="18"/>
                          <w:szCs w:val="18"/>
                        </w:rPr>
                        <w:t xml:space="preserve">By the end of 2013, </w:t>
                      </w:r>
                      <w:r>
                        <w:rPr>
                          <w:color w:val="FFFFFF" w:themeColor="background1"/>
                          <w:sz w:val="18"/>
                          <w:szCs w:val="18"/>
                        </w:rPr>
                        <w:t xml:space="preserve">6 </w:t>
                      </w:r>
                      <w:r w:rsidRPr="00AB09DA">
                        <w:rPr>
                          <w:color w:val="FFFFFF" w:themeColor="background1"/>
                          <w:sz w:val="18"/>
                          <w:szCs w:val="18"/>
                        </w:rPr>
                        <w:t>Africa</w:t>
                      </w:r>
                      <w:r>
                        <w:rPr>
                          <w:color w:val="FFFFFF" w:themeColor="background1"/>
                          <w:sz w:val="18"/>
                          <w:szCs w:val="18"/>
                        </w:rPr>
                        <w:t xml:space="preserve">n </w:t>
                      </w:r>
                      <w:r w:rsidRPr="00AB09DA">
                        <w:rPr>
                          <w:color w:val="FFFFFF" w:themeColor="background1"/>
                          <w:sz w:val="18"/>
                          <w:szCs w:val="18"/>
                        </w:rPr>
                        <w:t>countries (Egypt, Liberia and Tunisia</w:t>
                      </w:r>
                      <w:r>
                        <w:rPr>
                          <w:color w:val="FFFFFF" w:themeColor="background1"/>
                          <w:sz w:val="18"/>
                          <w:szCs w:val="18"/>
                        </w:rPr>
                        <w:t>, Ethiopia, Malawi and Tanzania</w:t>
                      </w:r>
                      <w:r w:rsidRPr="00AB09DA">
                        <w:rPr>
                          <w:color w:val="FFFFFF" w:themeColor="background1"/>
                          <w:sz w:val="18"/>
                          <w:szCs w:val="18"/>
                        </w:rPr>
                        <w:t xml:space="preserve">) </w:t>
                      </w:r>
                      <w:r>
                        <w:rPr>
                          <w:color w:val="FFFFFF" w:themeColor="background1"/>
                          <w:sz w:val="18"/>
                          <w:szCs w:val="18"/>
                        </w:rPr>
                        <w:t>had met the targets of MDG 4</w:t>
                      </w:r>
                    </w:p>
                    <w:p w:rsidR="007312F7" w:rsidRDefault="007312F7" w:rsidP="005A0221">
                      <w:pPr>
                        <w:rPr>
                          <w:color w:val="FFFFFF" w:themeColor="background1"/>
                          <w:sz w:val="18"/>
                          <w:szCs w:val="18"/>
                        </w:rPr>
                      </w:pPr>
                    </w:p>
                    <w:p w:rsidR="007312F7" w:rsidRDefault="007312F7" w:rsidP="005A0221">
                      <w:pPr>
                        <w:rPr>
                          <w:color w:val="FFFFFF" w:themeColor="background1"/>
                          <w:sz w:val="18"/>
                          <w:szCs w:val="18"/>
                        </w:rPr>
                      </w:pPr>
                      <w:r>
                        <w:rPr>
                          <w:color w:val="FFFFFF" w:themeColor="background1"/>
                          <w:sz w:val="18"/>
                          <w:szCs w:val="18"/>
                        </w:rPr>
                        <w:t xml:space="preserve">Policy and Programme Considerations </w:t>
                      </w:r>
                    </w:p>
                    <w:p w:rsidR="007312F7" w:rsidRDefault="007312F7" w:rsidP="00AB09DA">
                      <w:pPr>
                        <w:pStyle w:val="ListParagraph"/>
                        <w:numPr>
                          <w:ilvl w:val="0"/>
                          <w:numId w:val="9"/>
                        </w:numPr>
                        <w:rPr>
                          <w:color w:val="FFFFFF" w:themeColor="background1"/>
                          <w:sz w:val="18"/>
                          <w:szCs w:val="18"/>
                        </w:rPr>
                      </w:pPr>
                      <w:r w:rsidRPr="00AB09DA">
                        <w:rPr>
                          <w:color w:val="FFFFFF" w:themeColor="background1"/>
                          <w:sz w:val="18"/>
                          <w:szCs w:val="18"/>
                        </w:rPr>
                        <w:t xml:space="preserve">Emphasis </w:t>
                      </w:r>
                      <w:r>
                        <w:rPr>
                          <w:color w:val="FFFFFF" w:themeColor="background1"/>
                          <w:sz w:val="18"/>
                          <w:szCs w:val="18"/>
                        </w:rPr>
                        <w:t xml:space="preserve">should be placed </w:t>
                      </w:r>
                      <w:r w:rsidRPr="00AB09DA">
                        <w:rPr>
                          <w:color w:val="FFFFFF" w:themeColor="background1"/>
                          <w:sz w:val="18"/>
                          <w:szCs w:val="18"/>
                        </w:rPr>
                        <w:t>on neonatal health and intrapartum care</w:t>
                      </w:r>
                    </w:p>
                    <w:p w:rsidR="007312F7" w:rsidRDefault="007312F7" w:rsidP="00AB09DA">
                      <w:pPr>
                        <w:pStyle w:val="ListParagraph"/>
                        <w:numPr>
                          <w:ilvl w:val="0"/>
                          <w:numId w:val="9"/>
                        </w:numPr>
                        <w:rPr>
                          <w:color w:val="FFFFFF" w:themeColor="background1"/>
                          <w:sz w:val="18"/>
                          <w:szCs w:val="18"/>
                        </w:rPr>
                      </w:pPr>
                      <w:r>
                        <w:rPr>
                          <w:color w:val="FFFFFF" w:themeColor="background1"/>
                          <w:sz w:val="18"/>
                          <w:szCs w:val="18"/>
                        </w:rPr>
                        <w:t xml:space="preserve">Increase the delivery of babies </w:t>
                      </w:r>
                      <w:r w:rsidRPr="00AB09DA">
                        <w:rPr>
                          <w:color w:val="FFFFFF" w:themeColor="background1"/>
                          <w:sz w:val="18"/>
                          <w:szCs w:val="18"/>
                        </w:rPr>
                        <w:t>by skilled attendants</w:t>
                      </w:r>
                    </w:p>
                    <w:p w:rsidR="007312F7" w:rsidRDefault="007312F7" w:rsidP="008A5EC2">
                      <w:pPr>
                        <w:pStyle w:val="ListParagraph"/>
                        <w:numPr>
                          <w:ilvl w:val="0"/>
                          <w:numId w:val="9"/>
                        </w:numPr>
                        <w:rPr>
                          <w:color w:val="FFFFFF" w:themeColor="background1"/>
                          <w:sz w:val="18"/>
                          <w:szCs w:val="18"/>
                        </w:rPr>
                      </w:pPr>
                      <w:r>
                        <w:rPr>
                          <w:color w:val="FFFFFF" w:themeColor="background1"/>
                          <w:sz w:val="18"/>
                          <w:szCs w:val="18"/>
                        </w:rPr>
                        <w:t>Maintain focus and support to i</w:t>
                      </w:r>
                      <w:r w:rsidRPr="008A5EC2">
                        <w:rPr>
                          <w:color w:val="FFFFFF" w:themeColor="background1"/>
                          <w:sz w:val="18"/>
                          <w:szCs w:val="18"/>
                        </w:rPr>
                        <w:t>mmunisation programmes</w:t>
                      </w:r>
                    </w:p>
                    <w:p w:rsidR="007312F7" w:rsidRDefault="007312F7" w:rsidP="008A5EC2">
                      <w:pPr>
                        <w:pStyle w:val="ListParagraph"/>
                        <w:numPr>
                          <w:ilvl w:val="0"/>
                          <w:numId w:val="9"/>
                        </w:numPr>
                        <w:rPr>
                          <w:color w:val="FFFFFF" w:themeColor="background1"/>
                          <w:sz w:val="18"/>
                          <w:szCs w:val="18"/>
                        </w:rPr>
                      </w:pPr>
                      <w:r>
                        <w:rPr>
                          <w:color w:val="FFFFFF" w:themeColor="background1"/>
                          <w:sz w:val="18"/>
                          <w:szCs w:val="18"/>
                        </w:rPr>
                        <w:t>Promote i</w:t>
                      </w:r>
                      <w:r w:rsidRPr="008A5EC2">
                        <w:rPr>
                          <w:color w:val="FFFFFF" w:themeColor="background1"/>
                          <w:sz w:val="18"/>
                          <w:szCs w:val="18"/>
                        </w:rPr>
                        <w:t>ntegrated management of childhood illness</w:t>
                      </w:r>
                    </w:p>
                    <w:p w:rsidR="007312F7" w:rsidRDefault="007312F7" w:rsidP="008A5EC2">
                      <w:pPr>
                        <w:pStyle w:val="ListParagraph"/>
                        <w:numPr>
                          <w:ilvl w:val="0"/>
                          <w:numId w:val="9"/>
                        </w:numPr>
                        <w:rPr>
                          <w:color w:val="FFFFFF" w:themeColor="background1"/>
                          <w:sz w:val="18"/>
                          <w:szCs w:val="18"/>
                        </w:rPr>
                      </w:pPr>
                      <w:r>
                        <w:rPr>
                          <w:color w:val="FFFFFF" w:themeColor="background1"/>
                          <w:sz w:val="18"/>
                          <w:szCs w:val="18"/>
                        </w:rPr>
                        <w:t>Emphasise the importance  of c</w:t>
                      </w:r>
                      <w:r w:rsidRPr="008A5EC2">
                        <w:rPr>
                          <w:color w:val="FFFFFF" w:themeColor="background1"/>
                          <w:sz w:val="18"/>
                          <w:szCs w:val="18"/>
                        </w:rPr>
                        <w:t>ommunity mobilisation and responses</w:t>
                      </w:r>
                    </w:p>
                    <w:p w:rsidR="007312F7" w:rsidRDefault="007312F7" w:rsidP="008A5EC2">
                      <w:pPr>
                        <w:pStyle w:val="ListParagraph"/>
                        <w:numPr>
                          <w:ilvl w:val="0"/>
                          <w:numId w:val="9"/>
                        </w:numPr>
                        <w:rPr>
                          <w:color w:val="FFFFFF" w:themeColor="background1"/>
                          <w:sz w:val="18"/>
                          <w:szCs w:val="18"/>
                        </w:rPr>
                      </w:pPr>
                      <w:r w:rsidRPr="008A5EC2">
                        <w:rPr>
                          <w:color w:val="FFFFFF" w:themeColor="background1"/>
                          <w:sz w:val="18"/>
                          <w:szCs w:val="18"/>
                        </w:rPr>
                        <w:t>Emphasise the importance of nutrition</w:t>
                      </w:r>
                      <w:r>
                        <w:rPr>
                          <w:color w:val="FFFFFF" w:themeColor="background1"/>
                          <w:sz w:val="18"/>
                          <w:szCs w:val="18"/>
                        </w:rPr>
                        <w:t xml:space="preserve"> as a child survival intervention</w:t>
                      </w:r>
                    </w:p>
                    <w:p w:rsidR="007312F7" w:rsidRDefault="007312F7" w:rsidP="008A5EC2">
                      <w:pPr>
                        <w:pStyle w:val="ListParagraph"/>
                        <w:numPr>
                          <w:ilvl w:val="0"/>
                          <w:numId w:val="9"/>
                        </w:numPr>
                        <w:rPr>
                          <w:color w:val="FFFFFF" w:themeColor="background1"/>
                          <w:sz w:val="18"/>
                          <w:szCs w:val="18"/>
                        </w:rPr>
                      </w:pPr>
                      <w:r w:rsidRPr="008A5EC2">
                        <w:rPr>
                          <w:color w:val="FFFFFF" w:themeColor="background1"/>
                          <w:sz w:val="18"/>
                          <w:szCs w:val="18"/>
                        </w:rPr>
                        <w:t>Ensure mothers survive</w:t>
                      </w:r>
                    </w:p>
                    <w:p w:rsidR="007312F7" w:rsidRPr="00AB09DA" w:rsidRDefault="007312F7" w:rsidP="008A5EC2">
                      <w:pPr>
                        <w:pStyle w:val="ListParagraph"/>
                        <w:numPr>
                          <w:ilvl w:val="0"/>
                          <w:numId w:val="9"/>
                        </w:numPr>
                        <w:rPr>
                          <w:color w:val="FFFFFF" w:themeColor="background1"/>
                          <w:sz w:val="18"/>
                          <w:szCs w:val="18"/>
                        </w:rPr>
                      </w:pPr>
                      <w:r>
                        <w:rPr>
                          <w:color w:val="FFFFFF" w:themeColor="background1"/>
                          <w:sz w:val="18"/>
                          <w:szCs w:val="18"/>
                        </w:rPr>
                        <w:t xml:space="preserve">Consideration of crosscutting development interventions particularly education </w:t>
                      </w:r>
                    </w:p>
                  </w:txbxContent>
                </v:textbox>
                <w10:wrap type="square" anchorx="page" anchory="margin"/>
              </v:rect>
            </w:pict>
          </mc:Fallback>
        </mc:AlternateContent>
      </w:r>
      <w:r w:rsidR="00DD6622">
        <w:t>Child and Neonatal Health</w:t>
      </w:r>
      <w:bookmarkEnd w:id="5"/>
    </w:p>
    <w:p w:rsidR="00567BCD" w:rsidRDefault="001E6D5E" w:rsidP="007312F7">
      <w:pPr>
        <w:jc w:val="both"/>
      </w:pPr>
      <w:r>
        <w:t>There has been significant improvements in child health, and reduction in child mortality on the African continent since 1990. The average child mortality rate has reduced from 177 in 1990 to about 98 per 1000 births in 2013. The average rate of decline has</w:t>
      </w:r>
      <w:r w:rsidR="00567BCD">
        <w:t xml:space="preserve"> averaged 4.2% per year </w:t>
      </w:r>
      <w:r w:rsidR="00D00C00">
        <w:t xml:space="preserve">in </w:t>
      </w:r>
      <w:r w:rsidR="00567BCD">
        <w:t xml:space="preserve">most </w:t>
      </w:r>
      <w:r w:rsidR="00D00C00">
        <w:t>countries in</w:t>
      </w:r>
      <w:r w:rsidR="00567BCD">
        <w:t xml:space="preserve"> Africa. This is still below the MDG 4 target of reducing the child </w:t>
      </w:r>
      <w:r w:rsidR="00D00E6D">
        <w:t>mortality</w:t>
      </w:r>
      <w:r w:rsidR="00567BCD">
        <w:t xml:space="preserve"> by two</w:t>
      </w:r>
      <w:r w:rsidR="00D06BD6">
        <w:t>-</w:t>
      </w:r>
      <w:r w:rsidR="00567BCD">
        <w:t xml:space="preserve">thirds by 2015. </w:t>
      </w:r>
      <w:r w:rsidR="00A64421">
        <w:t xml:space="preserve">Achieving the MDG target </w:t>
      </w:r>
      <w:r w:rsidR="00E86BD8">
        <w:t xml:space="preserve">would have required a sustained reduction of 4.4% per year. </w:t>
      </w:r>
      <w:r w:rsidR="005A2C62">
        <w:t>Despite the increased rates in reductio</w:t>
      </w:r>
      <w:r w:rsidR="00D06BD6">
        <w:t xml:space="preserve">n of the </w:t>
      </w:r>
      <w:r w:rsidR="00B2555D">
        <w:t>under</w:t>
      </w:r>
      <w:r w:rsidR="007312F7">
        <w:t>-</w:t>
      </w:r>
      <w:r w:rsidR="00B2555D">
        <w:t>five</w:t>
      </w:r>
      <w:r w:rsidR="00F17654">
        <w:t xml:space="preserve"> mortality, </w:t>
      </w:r>
      <w:r w:rsidR="009A3DBB">
        <w:t xml:space="preserve">Africa (excluding North Africa) remains one of only two regions where </w:t>
      </w:r>
      <w:r w:rsidR="00B2555D">
        <w:t>under</w:t>
      </w:r>
      <w:r w:rsidR="007312F7">
        <w:t>-</w:t>
      </w:r>
      <w:r w:rsidR="00B2555D">
        <w:t>five</w:t>
      </w:r>
      <w:r w:rsidR="009A3DBB">
        <w:t xml:space="preserve"> mortality has not reduced by more than 50% of the 1990 </w:t>
      </w:r>
      <w:r w:rsidR="00B2555D">
        <w:t>baseline</w:t>
      </w:r>
      <w:r w:rsidR="00B2555D">
        <w:rPr>
          <w:vertAlign w:val="superscript"/>
        </w:rPr>
        <w:t>3</w:t>
      </w:r>
      <w:r w:rsidR="00B2555D">
        <w:t>.</w:t>
      </w:r>
      <w:r w:rsidR="005A2C62">
        <w:t xml:space="preserve"> </w:t>
      </w:r>
      <w:r w:rsidR="00567BCD">
        <w:t xml:space="preserve">This </w:t>
      </w:r>
      <w:r w:rsidR="00D00C00">
        <w:t xml:space="preserve">also </w:t>
      </w:r>
      <w:r w:rsidR="00567BCD">
        <w:t>belies the muted</w:t>
      </w:r>
      <w:r w:rsidR="00D00C00">
        <w:t xml:space="preserve"> rate of </w:t>
      </w:r>
      <w:r w:rsidR="00567BCD">
        <w:t xml:space="preserve">reductions in neonatal mortality, which </w:t>
      </w:r>
      <w:r w:rsidR="00E30E9D">
        <w:t>ha</w:t>
      </w:r>
      <w:r w:rsidR="009A3DBB">
        <w:t>s</w:t>
      </w:r>
      <w:r w:rsidR="00567BCD">
        <w:t xml:space="preserve"> not improved significantly since 1990.</w:t>
      </w:r>
    </w:p>
    <w:p w:rsidR="00567BCD" w:rsidRDefault="00567BCD" w:rsidP="007312F7">
      <w:pPr>
        <w:jc w:val="both"/>
      </w:pPr>
    </w:p>
    <w:p w:rsidR="00567BCD" w:rsidRDefault="00C10569" w:rsidP="007312F7">
      <w:pPr>
        <w:pStyle w:val="Heading2"/>
        <w:jc w:val="both"/>
        <w:rPr>
          <w:sz w:val="20"/>
          <w:szCs w:val="20"/>
        </w:rPr>
      </w:pPr>
      <w:bookmarkStart w:id="6" w:name="_TOC23324"/>
      <w:bookmarkStart w:id="7" w:name="_Toc411525473"/>
      <w:bookmarkEnd w:id="6"/>
      <w:r>
        <w:rPr>
          <w:sz w:val="20"/>
          <w:szCs w:val="20"/>
        </w:rPr>
        <w:t>Child M</w:t>
      </w:r>
      <w:r w:rsidR="00567BCD" w:rsidRPr="00567BCD">
        <w:rPr>
          <w:sz w:val="20"/>
          <w:szCs w:val="20"/>
        </w:rPr>
        <w:t>ortality</w:t>
      </w:r>
      <w:bookmarkEnd w:id="7"/>
    </w:p>
    <w:p w:rsidR="00B12E1F" w:rsidRDefault="00D00E6D" w:rsidP="007312F7">
      <w:pPr>
        <w:jc w:val="both"/>
      </w:pPr>
      <w:r>
        <w:t xml:space="preserve">The </w:t>
      </w:r>
      <w:r w:rsidR="00B2555D">
        <w:t>underfive</w:t>
      </w:r>
      <w:r>
        <w:t xml:space="preserve"> mortality rate is a key indicator of child </w:t>
      </w:r>
      <w:r w:rsidR="00B2555D">
        <w:t>wellbeing</w:t>
      </w:r>
      <w:r>
        <w:t xml:space="preserve">, including health and nutrition status. It is also a key indicator of the coverage of child survival interventions and, more broadly, of social and economic development </w:t>
      </w:r>
      <w:r w:rsidR="00B2555D">
        <w:rPr>
          <w:vertAlign w:val="superscript"/>
        </w:rPr>
        <w:t>1</w:t>
      </w:r>
      <w:r w:rsidR="00B2555D">
        <w:t>. Even though the under</w:t>
      </w:r>
      <w:r w:rsidR="007312F7">
        <w:t>-</w:t>
      </w:r>
      <w:r w:rsidR="00B2555D">
        <w:t>five</w:t>
      </w:r>
      <w:r w:rsidR="00E30E9D">
        <w:t xml:space="preserve"> mortality rate has been reducing at unprecedented levels, the reductions are still far below those required for the attainment of MDG 4. </w:t>
      </w:r>
      <w:r w:rsidR="00E86BD8">
        <w:t xml:space="preserve">The reduction in the </w:t>
      </w:r>
      <w:r w:rsidR="00B2555D">
        <w:t>under</w:t>
      </w:r>
      <w:r w:rsidR="007312F7">
        <w:t>-</w:t>
      </w:r>
      <w:r w:rsidR="00B2555D">
        <w:t>five</w:t>
      </w:r>
      <w:r w:rsidR="00E86BD8">
        <w:t xml:space="preserve"> mortality also </w:t>
      </w:r>
      <w:r w:rsidR="0072341B">
        <w:t>mask</w:t>
      </w:r>
      <w:r w:rsidR="00E86BD8">
        <w:t xml:space="preserve"> the slow decline in the rates of neonatal deaths. </w:t>
      </w:r>
      <w:r w:rsidR="00494520">
        <w:t>Globally, five</w:t>
      </w:r>
      <w:r w:rsidR="00AB62FF">
        <w:t xml:space="preserve"> countries (</w:t>
      </w:r>
      <w:r w:rsidR="00494520">
        <w:t>India, Nigeria, Pakistan, Democratic Republic of the Congo and China)</w:t>
      </w:r>
      <w:r w:rsidR="00AB62FF">
        <w:t xml:space="preserve"> account for 50</w:t>
      </w:r>
      <w:r w:rsidR="00B2555D">
        <w:t>% of the worldwide deaths of children under</w:t>
      </w:r>
      <w:r w:rsidR="00A64421">
        <w:t>-</w:t>
      </w:r>
      <w:r w:rsidR="00B2555D">
        <w:t>five</w:t>
      </w:r>
      <w:r w:rsidR="00A64421">
        <w:t xml:space="preserve"> years</w:t>
      </w:r>
      <w:r w:rsidR="00B2555D">
        <w:rPr>
          <w:vertAlign w:val="superscript"/>
        </w:rPr>
        <w:t>1</w:t>
      </w:r>
      <w:r w:rsidR="00B2555D">
        <w:t>.</w:t>
      </w:r>
      <w:r w:rsidR="00494520">
        <w:t xml:space="preserve"> </w:t>
      </w:r>
    </w:p>
    <w:p w:rsidR="00F63D3E" w:rsidRDefault="00F63D3E" w:rsidP="007312F7">
      <w:pPr>
        <w:jc w:val="both"/>
      </w:pPr>
    </w:p>
    <w:p w:rsidR="00F63D3E" w:rsidRDefault="00F63D3E" w:rsidP="007312F7">
      <w:pPr>
        <w:jc w:val="both"/>
      </w:pPr>
      <w:r>
        <w:t>The main causes of death among children under the age of five include:</w:t>
      </w:r>
    </w:p>
    <w:p w:rsidR="00F63D3E" w:rsidRPr="008E16AB" w:rsidRDefault="00F63D3E" w:rsidP="007312F7">
      <w:pPr>
        <w:pStyle w:val="ListParagraph"/>
        <w:jc w:val="both"/>
        <w:rPr>
          <w:b/>
        </w:rPr>
      </w:pPr>
      <w:r w:rsidRPr="008E16AB">
        <w:rPr>
          <w:b/>
        </w:rPr>
        <w:t>Neonatal causes</w:t>
      </w:r>
      <w:r>
        <w:t>: Deaths within the first 28 days of life and in the intra</w:t>
      </w:r>
      <w:r w:rsidR="007312F7">
        <w:t>-</w:t>
      </w:r>
      <w:r>
        <w:t>partum and perinatal period account for nearly 28% of all under</w:t>
      </w:r>
      <w:r w:rsidR="007312F7">
        <w:t>-</w:t>
      </w:r>
      <w:r>
        <w:t xml:space="preserve">five deaths. Most of the deaths are </w:t>
      </w:r>
      <w:r w:rsidR="0005182D">
        <w:t>because</w:t>
      </w:r>
      <w:r>
        <w:t xml:space="preserve"> of birth asphyxia, low birth weight, and disorders arising in the perinatal period</w:t>
      </w:r>
      <w:r w:rsidR="00790E7B">
        <w:t>.</w:t>
      </w:r>
    </w:p>
    <w:p w:rsidR="00F63D3E" w:rsidRPr="008E16AB" w:rsidRDefault="00F63D3E" w:rsidP="007312F7">
      <w:pPr>
        <w:pStyle w:val="ListParagraph"/>
        <w:jc w:val="both"/>
        <w:rPr>
          <w:b/>
        </w:rPr>
      </w:pPr>
      <w:r w:rsidRPr="008E16AB">
        <w:rPr>
          <w:b/>
        </w:rPr>
        <w:t>Infectious Diseases</w:t>
      </w:r>
      <w:r>
        <w:t>: Infectious diseases including malaria, acute respiratory infections and pneumonia; measles and diarrhoea are the leading causes of child deaths contributing nearly a third of all deaths in under-five children. Pneumonia accounts for nearly 15% of deaths, diarrhoea 9% and malaria 7% of child deaths respectively.</w:t>
      </w:r>
    </w:p>
    <w:p w:rsidR="00F63D3E" w:rsidRDefault="00F63D3E" w:rsidP="007312F7">
      <w:pPr>
        <w:pStyle w:val="ListParagraph"/>
        <w:jc w:val="both"/>
      </w:pPr>
      <w:r>
        <w:rPr>
          <w:b/>
        </w:rPr>
        <w:t>Nutritional causes</w:t>
      </w:r>
      <w:r w:rsidRPr="009006A7">
        <w:t>:</w:t>
      </w:r>
      <w:r>
        <w:t xml:space="preserve"> The effects of malnutrition take </w:t>
      </w:r>
      <w:r w:rsidR="00A64421">
        <w:t xml:space="preserve">a </w:t>
      </w:r>
      <w:r w:rsidR="008759A1">
        <w:t>large</w:t>
      </w:r>
      <w:r>
        <w:t xml:space="preserve"> toll on the under five deaths. </w:t>
      </w:r>
      <w:r w:rsidR="0005182D">
        <w:t>Nearly half of all child deaths are due to the sequelae of malnutrition</w:t>
      </w:r>
    </w:p>
    <w:p w:rsidR="00FB358D" w:rsidRDefault="00FB358D" w:rsidP="007312F7">
      <w:pPr>
        <w:jc w:val="both"/>
      </w:pPr>
    </w:p>
    <w:p w:rsidR="00193352" w:rsidRDefault="008B1345" w:rsidP="007312F7">
      <w:pPr>
        <w:jc w:val="both"/>
      </w:pPr>
      <w:r>
        <w:t>Graph 1</w:t>
      </w:r>
      <w:r w:rsidR="00FB358D">
        <w:t xml:space="preserve"> </w:t>
      </w:r>
      <w:r w:rsidR="006F0EA2">
        <w:t>show</w:t>
      </w:r>
      <w:r>
        <w:t>s</w:t>
      </w:r>
      <w:r w:rsidR="006F0EA2">
        <w:t xml:space="preserve"> the levels of </w:t>
      </w:r>
      <w:r w:rsidR="00B2555D">
        <w:t>under</w:t>
      </w:r>
      <w:r w:rsidR="007312F7">
        <w:t>-</w:t>
      </w:r>
      <w:r w:rsidR="00B2555D">
        <w:t>five</w:t>
      </w:r>
      <w:r w:rsidR="006F0EA2">
        <w:t xml:space="preserve"> mortality over the period 2010 – 2013, and the baseline of 1990.</w:t>
      </w:r>
      <w:r w:rsidR="002B3A8D">
        <w:t xml:space="preserve"> It is </w:t>
      </w:r>
      <w:r w:rsidR="002B3A8D">
        <w:lastRenderedPageBreak/>
        <w:t>clear that the vast majority of African countries have managed to significantly reduce the under</w:t>
      </w:r>
      <w:r w:rsidR="007312F7">
        <w:t>-</w:t>
      </w:r>
      <w:r w:rsidR="002B3A8D">
        <w:t>five mortality when compared with the 1990 baseline.</w:t>
      </w:r>
      <w:r w:rsidR="00FB358D">
        <w:t xml:space="preserve"> Between 2010 </w:t>
      </w:r>
      <w:r w:rsidR="00B2555D">
        <w:t>–</w:t>
      </w:r>
      <w:r w:rsidR="00FB358D">
        <w:t xml:space="preserve"> 2013, the average </w:t>
      </w:r>
      <w:r w:rsidR="00B2555D">
        <w:t>under</w:t>
      </w:r>
      <w:r w:rsidR="007312F7">
        <w:t>-</w:t>
      </w:r>
      <w:r w:rsidR="00B2555D">
        <w:t>five</w:t>
      </w:r>
      <w:r w:rsidR="00FB358D">
        <w:t xml:space="preserve"> mortality reduced by </w:t>
      </w:r>
      <w:r w:rsidR="007548BB">
        <w:t>43.6%</w:t>
      </w:r>
      <w:r w:rsidR="00FB358D">
        <w:t xml:space="preserve"> in Africa.</w:t>
      </w:r>
    </w:p>
    <w:p w:rsidR="00193352" w:rsidRDefault="00193352" w:rsidP="007312F7">
      <w:pPr>
        <w:jc w:val="both"/>
      </w:pPr>
    </w:p>
    <w:p w:rsidR="00C46EE0" w:rsidRDefault="00A82AF7" w:rsidP="007312F7">
      <w:pPr>
        <w:jc w:val="both"/>
      </w:pPr>
      <w:r w:rsidRPr="00A82AF7">
        <w:rPr>
          <w:noProof/>
          <w:lang w:eastAsia="en-GB"/>
        </w:rPr>
        <w:t xml:space="preserve"> </w:t>
      </w:r>
    </w:p>
    <w:p w:rsidR="00C46EE0" w:rsidRDefault="00C46EE0" w:rsidP="007312F7">
      <w:pPr>
        <w:pStyle w:val="Caption"/>
        <w:keepNext/>
        <w:jc w:val="both"/>
      </w:pPr>
      <w:bookmarkStart w:id="8" w:name="_Toc411525281"/>
      <w:r>
        <w:t xml:space="preserve">Graph </w:t>
      </w:r>
      <w:fldSimple w:instr=" SEQ Graph \* ARABIC ">
        <w:r>
          <w:rPr>
            <w:noProof/>
          </w:rPr>
          <w:t>1</w:t>
        </w:r>
      </w:fldSimple>
      <w:r>
        <w:t>: Under Five Mortality Rates 2010 - 2013</w:t>
      </w:r>
      <w:bookmarkEnd w:id="8"/>
    </w:p>
    <w:p w:rsidR="00193352" w:rsidRDefault="00C73361" w:rsidP="007312F7">
      <w:pPr>
        <w:jc w:val="both"/>
      </w:pPr>
      <w:r w:rsidRPr="007312F7">
        <w:rPr>
          <w:noProof/>
          <w:lang w:val="en-US"/>
        </w:rPr>
        <w:drawing>
          <wp:inline distT="0" distB="0" distL="0" distR="0" wp14:anchorId="26A12E92" wp14:editId="10844FC3">
            <wp:extent cx="5303520" cy="7549286"/>
            <wp:effectExtent l="0" t="0" r="11430" b="139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93352" w:rsidRDefault="00193352" w:rsidP="007312F7">
      <w:pPr>
        <w:jc w:val="both"/>
      </w:pPr>
    </w:p>
    <w:p w:rsidR="00193352" w:rsidRDefault="00193352" w:rsidP="007312F7">
      <w:pPr>
        <w:jc w:val="both"/>
      </w:pPr>
    </w:p>
    <w:p w:rsidR="00193352" w:rsidRDefault="00193352" w:rsidP="007312F7">
      <w:pPr>
        <w:jc w:val="both"/>
      </w:pPr>
    </w:p>
    <w:p w:rsidR="00C94533" w:rsidRDefault="004B5F52" w:rsidP="007312F7">
      <w:pPr>
        <w:jc w:val="both"/>
      </w:pPr>
      <w:r>
        <w:lastRenderedPageBreak/>
        <w:t>In 1990, there were 36 African countries that had an under</w:t>
      </w:r>
      <w:r w:rsidR="007312F7">
        <w:t>-</w:t>
      </w:r>
      <w:r>
        <w:t>five mortality rate greater than 100 per 1000 live births.</w:t>
      </w:r>
      <w:r w:rsidR="005C2DEE">
        <w:t xml:space="preserve"> At the end of </w:t>
      </w:r>
      <w:r w:rsidR="00E30E9D">
        <w:t xml:space="preserve">2013, </w:t>
      </w:r>
      <w:r w:rsidR="00A64421">
        <w:t xml:space="preserve">only </w:t>
      </w:r>
      <w:r w:rsidR="00E30E9D">
        <w:t xml:space="preserve">12 countries in Africa </w:t>
      </w:r>
      <w:r w:rsidR="00D87685">
        <w:t>continue to</w:t>
      </w:r>
      <w:r w:rsidR="00E30E9D">
        <w:t xml:space="preserve"> have an </w:t>
      </w:r>
      <w:r w:rsidR="00B2555D">
        <w:t>under</w:t>
      </w:r>
      <w:r w:rsidR="007312F7">
        <w:t>-</w:t>
      </w:r>
      <w:r w:rsidR="00B2555D">
        <w:t>five</w:t>
      </w:r>
      <w:r w:rsidR="00E30E9D">
        <w:t xml:space="preserve"> mortality rate of more than 100 per 1000 live births. </w:t>
      </w:r>
      <w:r w:rsidR="00C94533">
        <w:t xml:space="preserve">This further illustrates the dramatic gains that have been achieved </w:t>
      </w:r>
      <w:r w:rsidR="00B2555D">
        <w:t>during this</w:t>
      </w:r>
      <w:r w:rsidR="00C94533">
        <w:t xml:space="preserve"> period. </w:t>
      </w:r>
    </w:p>
    <w:p w:rsidR="00C94533" w:rsidRDefault="00C94533" w:rsidP="007312F7">
      <w:pPr>
        <w:jc w:val="both"/>
      </w:pPr>
    </w:p>
    <w:p w:rsidR="004226C1" w:rsidRDefault="008D1ADC" w:rsidP="007312F7">
      <w:pPr>
        <w:jc w:val="both"/>
      </w:pPr>
      <w:r>
        <w:t>By the end of 201</w:t>
      </w:r>
      <w:r w:rsidR="00185C65">
        <w:t>4</w:t>
      </w:r>
      <w:r>
        <w:t xml:space="preserve">, </w:t>
      </w:r>
      <w:r w:rsidR="00B2555D">
        <w:t>six</w:t>
      </w:r>
      <w:r w:rsidR="005C2DEE">
        <w:t xml:space="preserve"> </w:t>
      </w:r>
      <w:r w:rsidR="007A5327">
        <w:t>countries:</w:t>
      </w:r>
      <w:r w:rsidR="00185C65">
        <w:t xml:space="preserve"> Egypt, Liberia, </w:t>
      </w:r>
      <w:r w:rsidR="00882FC3">
        <w:t>Tunisia</w:t>
      </w:r>
      <w:r w:rsidR="00185C65">
        <w:t>, Malawi, Tanzania and Ethiopia</w:t>
      </w:r>
      <w:r>
        <w:t xml:space="preserve"> had met the MDG goal of reducing the </w:t>
      </w:r>
      <w:r w:rsidR="00B2555D">
        <w:t>under</w:t>
      </w:r>
      <w:r w:rsidR="007312F7">
        <w:t>-</w:t>
      </w:r>
      <w:r w:rsidR="00B2555D">
        <w:t>five</w:t>
      </w:r>
      <w:r>
        <w:t xml:space="preserve"> mortality by two</w:t>
      </w:r>
      <w:r w:rsidR="00D06BD6">
        <w:t>-</w:t>
      </w:r>
      <w:r>
        <w:t>thirds of</w:t>
      </w:r>
      <w:r w:rsidR="00A62403">
        <w:t xml:space="preserve"> the 1990 levels</w:t>
      </w:r>
      <w:r w:rsidR="007A5327">
        <w:t xml:space="preserve">. </w:t>
      </w:r>
      <w:r w:rsidR="00B2555D">
        <w:t>Eleven</w:t>
      </w:r>
      <w:r w:rsidR="002E72C0">
        <w:t xml:space="preserve"> countries were on track, and </w:t>
      </w:r>
      <w:r w:rsidR="00B2555D">
        <w:t>eight</w:t>
      </w:r>
      <w:r w:rsidR="002E72C0">
        <w:t xml:space="preserve"> countries had made remarkable progress towards MDG 4. Table </w:t>
      </w:r>
      <w:r w:rsidR="005A6392">
        <w:t xml:space="preserve">1 </w:t>
      </w:r>
      <w:r w:rsidR="00A62403">
        <w:t xml:space="preserve">shows a summary of </w:t>
      </w:r>
      <w:r w:rsidR="004226C1">
        <w:t xml:space="preserve">progress towards </w:t>
      </w:r>
      <w:r w:rsidR="00A62403">
        <w:t>attainment of MDG 4.</w:t>
      </w:r>
    </w:p>
    <w:p w:rsidR="00193352" w:rsidRDefault="00193352" w:rsidP="007312F7">
      <w:pPr>
        <w:pStyle w:val="Caption1"/>
        <w:keepNext/>
        <w:jc w:val="both"/>
        <w:rPr>
          <w:rFonts w:hint="eastAsia"/>
        </w:rPr>
      </w:pPr>
    </w:p>
    <w:p w:rsidR="0038110A" w:rsidRDefault="0038110A" w:rsidP="007312F7">
      <w:pPr>
        <w:pStyle w:val="Caption"/>
        <w:keepNext/>
        <w:jc w:val="both"/>
      </w:pPr>
      <w:bookmarkStart w:id="9" w:name="_Toc411525268"/>
      <w:r>
        <w:t xml:space="preserve">Table </w:t>
      </w:r>
      <w:fldSimple w:instr=" SEQ Table \* ARABIC ">
        <w:r>
          <w:rPr>
            <w:noProof/>
          </w:rPr>
          <w:t>1</w:t>
        </w:r>
      </w:fldSimple>
      <w:r>
        <w:t>: Progress against MDGs</w:t>
      </w:r>
      <w:bookmarkEnd w:id="9"/>
    </w:p>
    <w:tbl>
      <w:tblPr>
        <w:tblW w:w="9050" w:type="dxa"/>
        <w:tblInd w:w="93" w:type="dxa"/>
        <w:tblLook w:val="04A0" w:firstRow="1" w:lastRow="0" w:firstColumn="1" w:lastColumn="0" w:noHBand="0" w:noVBand="1"/>
      </w:tblPr>
      <w:tblGrid>
        <w:gridCol w:w="4539"/>
        <w:gridCol w:w="4511"/>
      </w:tblGrid>
      <w:tr w:rsidR="00B2555D" w:rsidRPr="004B5FA8" w:rsidTr="004B5FA8">
        <w:trPr>
          <w:trHeight w:val="300"/>
        </w:trPr>
        <w:tc>
          <w:tcPr>
            <w:tcW w:w="4539" w:type="dxa"/>
            <w:tcBorders>
              <w:top w:val="single" w:sz="8" w:space="0" w:color="FFFFFF"/>
              <w:left w:val="single" w:sz="8" w:space="0" w:color="FFFFFF"/>
              <w:bottom w:val="nil"/>
              <w:right w:val="nil"/>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 xml:space="preserve">Achieved (6 countries) </w:t>
            </w:r>
          </w:p>
        </w:tc>
        <w:tc>
          <w:tcPr>
            <w:tcW w:w="4511" w:type="dxa"/>
            <w:tcBorders>
              <w:top w:val="single" w:sz="8" w:space="0" w:color="FFFFFF"/>
              <w:left w:val="nil"/>
              <w:bottom w:val="nil"/>
              <w:right w:val="single" w:sz="8" w:space="0" w:color="FFFFFF"/>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Egypt</w:t>
            </w:r>
          </w:p>
        </w:tc>
      </w:tr>
      <w:tr w:rsidR="00B2555D" w:rsidRPr="004B5FA8" w:rsidTr="004B5FA8">
        <w:trPr>
          <w:trHeight w:val="300"/>
        </w:trPr>
        <w:tc>
          <w:tcPr>
            <w:tcW w:w="4539" w:type="dxa"/>
            <w:tcBorders>
              <w:top w:val="nil"/>
              <w:left w:val="single" w:sz="8" w:space="0" w:color="FFFFFF"/>
              <w:bottom w:val="nil"/>
              <w:right w:val="nil"/>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 </w:t>
            </w:r>
          </w:p>
        </w:tc>
        <w:tc>
          <w:tcPr>
            <w:tcW w:w="4511" w:type="dxa"/>
            <w:tcBorders>
              <w:top w:val="nil"/>
              <w:left w:val="nil"/>
              <w:bottom w:val="nil"/>
              <w:right w:val="single" w:sz="8" w:space="0" w:color="FFFFFF"/>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Ethiopia</w:t>
            </w:r>
          </w:p>
        </w:tc>
      </w:tr>
      <w:tr w:rsidR="00B2555D" w:rsidRPr="004B5FA8" w:rsidTr="004B5FA8">
        <w:trPr>
          <w:trHeight w:val="300"/>
        </w:trPr>
        <w:tc>
          <w:tcPr>
            <w:tcW w:w="4539" w:type="dxa"/>
            <w:tcBorders>
              <w:top w:val="nil"/>
              <w:left w:val="single" w:sz="8" w:space="0" w:color="FFFFFF"/>
              <w:bottom w:val="nil"/>
              <w:right w:val="nil"/>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 </w:t>
            </w:r>
          </w:p>
        </w:tc>
        <w:tc>
          <w:tcPr>
            <w:tcW w:w="4511" w:type="dxa"/>
            <w:tcBorders>
              <w:top w:val="nil"/>
              <w:left w:val="nil"/>
              <w:bottom w:val="nil"/>
              <w:right w:val="single" w:sz="8" w:space="0" w:color="FFFFFF"/>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Liberia</w:t>
            </w:r>
          </w:p>
        </w:tc>
      </w:tr>
      <w:tr w:rsidR="00B2555D" w:rsidRPr="004B5FA8" w:rsidTr="004B5FA8">
        <w:trPr>
          <w:trHeight w:val="300"/>
        </w:trPr>
        <w:tc>
          <w:tcPr>
            <w:tcW w:w="4539" w:type="dxa"/>
            <w:tcBorders>
              <w:top w:val="nil"/>
              <w:left w:val="single" w:sz="8" w:space="0" w:color="FFFFFF"/>
              <w:bottom w:val="nil"/>
              <w:right w:val="nil"/>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 </w:t>
            </w:r>
          </w:p>
        </w:tc>
        <w:tc>
          <w:tcPr>
            <w:tcW w:w="4511" w:type="dxa"/>
            <w:tcBorders>
              <w:top w:val="nil"/>
              <w:left w:val="nil"/>
              <w:bottom w:val="nil"/>
              <w:right w:val="single" w:sz="8" w:space="0" w:color="FFFFFF"/>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Malawi</w:t>
            </w:r>
          </w:p>
        </w:tc>
      </w:tr>
      <w:tr w:rsidR="00B2555D" w:rsidRPr="004B5FA8" w:rsidTr="004B5FA8">
        <w:trPr>
          <w:trHeight w:val="300"/>
        </w:trPr>
        <w:tc>
          <w:tcPr>
            <w:tcW w:w="4539" w:type="dxa"/>
            <w:tcBorders>
              <w:top w:val="nil"/>
              <w:left w:val="single" w:sz="8" w:space="0" w:color="FFFFFF"/>
              <w:bottom w:val="nil"/>
              <w:right w:val="nil"/>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 </w:t>
            </w:r>
          </w:p>
        </w:tc>
        <w:tc>
          <w:tcPr>
            <w:tcW w:w="4511" w:type="dxa"/>
            <w:tcBorders>
              <w:top w:val="nil"/>
              <w:left w:val="nil"/>
              <w:bottom w:val="nil"/>
              <w:right w:val="single" w:sz="8" w:space="0" w:color="FFFFFF"/>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Tanzania</w:t>
            </w:r>
          </w:p>
        </w:tc>
      </w:tr>
      <w:tr w:rsidR="00B2555D" w:rsidRPr="004B5FA8" w:rsidTr="004B5FA8">
        <w:trPr>
          <w:trHeight w:val="300"/>
        </w:trPr>
        <w:tc>
          <w:tcPr>
            <w:tcW w:w="4539" w:type="dxa"/>
            <w:tcBorders>
              <w:top w:val="nil"/>
              <w:left w:val="single" w:sz="8" w:space="0" w:color="FFFFFF"/>
              <w:bottom w:val="single" w:sz="4" w:space="0" w:color="FFFFFF"/>
              <w:right w:val="nil"/>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 </w:t>
            </w:r>
          </w:p>
        </w:tc>
        <w:tc>
          <w:tcPr>
            <w:tcW w:w="4511" w:type="dxa"/>
            <w:tcBorders>
              <w:top w:val="nil"/>
              <w:left w:val="nil"/>
              <w:bottom w:val="single" w:sz="4" w:space="0" w:color="FFFFFF"/>
              <w:right w:val="single" w:sz="8" w:space="0" w:color="FFFFFF"/>
            </w:tcBorders>
            <w:shd w:val="clear" w:color="000000" w:fill="C5D9F1"/>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Tunisia</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On track (11 Countries)</w:t>
            </w:r>
          </w:p>
        </w:tc>
        <w:tc>
          <w:tcPr>
            <w:tcW w:w="4511" w:type="dxa"/>
            <w:tcBorders>
              <w:top w:val="nil"/>
              <w:left w:val="nil"/>
              <w:bottom w:val="nil"/>
              <w:right w:val="single" w:sz="8" w:space="0" w:color="FFFFFF"/>
            </w:tcBorders>
            <w:shd w:val="clear" w:color="000000" w:fill="8DB4E2"/>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Algeria</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8E16AB" w:rsidRDefault="004B5FA8" w:rsidP="007312F7">
            <w:pPr>
              <w:jc w:val="both"/>
              <w:rPr>
                <w:rFonts w:ascii="Calibri" w:hAnsi="Calibri"/>
                <w:color w:val="FFFFFF"/>
              </w:rPr>
            </w:pPr>
            <w:r w:rsidRPr="008E16AB">
              <w:rPr>
                <w:rFonts w:ascii="Calibri" w:hAnsi="Calibri"/>
                <w:color w:val="FFFFFF"/>
              </w:rPr>
              <w:t>Cape Verde</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Eritrea</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Libya</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Madagascar</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Morocco</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Mozambique</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Niger</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Rwanda</w:t>
            </w:r>
          </w:p>
        </w:tc>
      </w:tr>
      <w:tr w:rsidR="00B2555D" w:rsidRPr="004B5FA8" w:rsidTr="004B5FA8">
        <w:trPr>
          <w:trHeight w:val="300"/>
        </w:trPr>
        <w:tc>
          <w:tcPr>
            <w:tcW w:w="4539" w:type="dxa"/>
            <w:tcBorders>
              <w:top w:val="nil"/>
              <w:left w:val="single" w:sz="8" w:space="0" w:color="FFFFFF"/>
              <w:bottom w:val="nil"/>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South Sudan</w:t>
            </w:r>
          </w:p>
        </w:tc>
      </w:tr>
      <w:tr w:rsidR="00B2555D" w:rsidRPr="004B5FA8" w:rsidTr="004B5FA8">
        <w:trPr>
          <w:trHeight w:val="300"/>
        </w:trPr>
        <w:tc>
          <w:tcPr>
            <w:tcW w:w="4539" w:type="dxa"/>
            <w:tcBorders>
              <w:top w:val="nil"/>
              <w:left w:val="single" w:sz="8" w:space="0" w:color="FFFFFF"/>
              <w:bottom w:val="single" w:sz="4" w:space="0" w:color="FFFFFF"/>
              <w:right w:val="nil"/>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single" w:sz="4" w:space="0" w:color="FFFFFF"/>
              <w:right w:val="single" w:sz="8" w:space="0" w:color="FFFFFF"/>
            </w:tcBorders>
            <w:shd w:val="clear" w:color="000000" w:fill="8DB4E2"/>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Uganda</w:t>
            </w:r>
          </w:p>
        </w:tc>
      </w:tr>
      <w:tr w:rsidR="00B2555D" w:rsidRPr="004B5FA8" w:rsidTr="004B5FA8">
        <w:trPr>
          <w:trHeight w:val="300"/>
        </w:trPr>
        <w:tc>
          <w:tcPr>
            <w:tcW w:w="4539" w:type="dxa"/>
            <w:tcBorders>
              <w:top w:val="nil"/>
              <w:left w:val="single" w:sz="8" w:space="0" w:color="FFFFFF"/>
              <w:bottom w:val="nil"/>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Remarkable Progress (8 Countries)</w:t>
            </w:r>
            <w:r w:rsidR="0011636F" w:rsidRPr="0033380D">
              <w:rPr>
                <w:rFonts w:ascii="Calibri" w:hAnsi="Calibri"/>
                <w:color w:val="FFFFFF"/>
              </w:rPr>
              <w:t xml:space="preserve"> (Reduced </w:t>
            </w:r>
            <w:r w:rsidR="00B2555D">
              <w:rPr>
                <w:rFonts w:ascii="Lucida Grande" w:eastAsia="ヒラギノ角ゴ Pro W3" w:hAnsi="Lucida Grande"/>
                <w:color w:val="FEFFFE"/>
              </w:rPr>
              <w:t>Underfive</w:t>
            </w:r>
            <w:r w:rsidR="0011636F" w:rsidRPr="0033380D">
              <w:rPr>
                <w:rFonts w:ascii="Calibri" w:hAnsi="Calibri"/>
                <w:color w:val="FFFFFF"/>
              </w:rPr>
              <w:t xml:space="preserve"> mortality by at least more than 50%)</w:t>
            </w:r>
          </w:p>
        </w:tc>
        <w:tc>
          <w:tcPr>
            <w:tcW w:w="4511" w:type="dxa"/>
            <w:tcBorders>
              <w:top w:val="nil"/>
              <w:left w:val="nil"/>
              <w:bottom w:val="nil"/>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Benin</w:t>
            </w:r>
          </w:p>
        </w:tc>
      </w:tr>
      <w:tr w:rsidR="00B2555D" w:rsidRPr="004B5FA8" w:rsidTr="004B5FA8">
        <w:trPr>
          <w:trHeight w:val="300"/>
        </w:trPr>
        <w:tc>
          <w:tcPr>
            <w:tcW w:w="4539" w:type="dxa"/>
            <w:tcBorders>
              <w:top w:val="nil"/>
              <w:left w:val="single" w:sz="8" w:space="0" w:color="FFFFFF"/>
              <w:bottom w:val="nil"/>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Burkina Faso</w:t>
            </w:r>
          </w:p>
        </w:tc>
      </w:tr>
      <w:tr w:rsidR="00B2555D" w:rsidRPr="004B5FA8" w:rsidTr="004B5FA8">
        <w:trPr>
          <w:trHeight w:val="300"/>
        </w:trPr>
        <w:tc>
          <w:tcPr>
            <w:tcW w:w="4539" w:type="dxa"/>
            <w:tcBorders>
              <w:top w:val="nil"/>
              <w:left w:val="single" w:sz="8" w:space="0" w:color="FFFFFF"/>
              <w:bottom w:val="nil"/>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Gambia</w:t>
            </w:r>
          </w:p>
        </w:tc>
      </w:tr>
      <w:tr w:rsidR="00B2555D" w:rsidRPr="004B5FA8" w:rsidTr="004B5FA8">
        <w:trPr>
          <w:trHeight w:val="300"/>
        </w:trPr>
        <w:tc>
          <w:tcPr>
            <w:tcW w:w="4539" w:type="dxa"/>
            <w:tcBorders>
              <w:top w:val="nil"/>
              <w:left w:val="single" w:sz="8" w:space="0" w:color="FFFFFF"/>
              <w:bottom w:val="nil"/>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Guinea</w:t>
            </w:r>
          </w:p>
        </w:tc>
      </w:tr>
      <w:tr w:rsidR="00B2555D" w:rsidRPr="004B5FA8" w:rsidTr="004B5FA8">
        <w:trPr>
          <w:trHeight w:val="300"/>
        </w:trPr>
        <w:tc>
          <w:tcPr>
            <w:tcW w:w="4539" w:type="dxa"/>
            <w:tcBorders>
              <w:top w:val="nil"/>
              <w:left w:val="single" w:sz="8" w:space="0" w:color="FFFFFF"/>
              <w:bottom w:val="nil"/>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Mali</w:t>
            </w:r>
          </w:p>
        </w:tc>
      </w:tr>
      <w:tr w:rsidR="00B2555D" w:rsidRPr="004B5FA8" w:rsidTr="004B5FA8">
        <w:trPr>
          <w:trHeight w:val="300"/>
        </w:trPr>
        <w:tc>
          <w:tcPr>
            <w:tcW w:w="4539" w:type="dxa"/>
            <w:tcBorders>
              <w:top w:val="nil"/>
              <w:left w:val="single" w:sz="8" w:space="0" w:color="FFFFFF"/>
              <w:bottom w:val="nil"/>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Sao Tome and Principe</w:t>
            </w:r>
          </w:p>
        </w:tc>
      </w:tr>
      <w:tr w:rsidR="00B2555D" w:rsidRPr="004B5FA8" w:rsidTr="004B5FA8">
        <w:trPr>
          <w:trHeight w:val="300"/>
        </w:trPr>
        <w:tc>
          <w:tcPr>
            <w:tcW w:w="4539" w:type="dxa"/>
            <w:tcBorders>
              <w:top w:val="nil"/>
              <w:left w:val="single" w:sz="8" w:space="0" w:color="FFFFFF"/>
              <w:bottom w:val="nil"/>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Senegal</w:t>
            </w:r>
          </w:p>
        </w:tc>
      </w:tr>
      <w:tr w:rsidR="00B2555D" w:rsidRPr="004B5FA8" w:rsidTr="004B5FA8">
        <w:trPr>
          <w:trHeight w:val="300"/>
        </w:trPr>
        <w:tc>
          <w:tcPr>
            <w:tcW w:w="4539" w:type="dxa"/>
            <w:tcBorders>
              <w:top w:val="nil"/>
              <w:left w:val="single" w:sz="8" w:space="0" w:color="FFFFFF"/>
              <w:bottom w:val="single" w:sz="4" w:space="0" w:color="FFFFFF"/>
              <w:right w:val="nil"/>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single" w:sz="4" w:space="0" w:color="FFFFFF"/>
              <w:right w:val="single" w:sz="8" w:space="0" w:color="FFFFFF"/>
            </w:tcBorders>
            <w:shd w:val="clear" w:color="000000" w:fill="538DD5"/>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Zambia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Insufficient Progress (25 Countries)</w:t>
            </w:r>
            <w:r w:rsidR="0011636F" w:rsidRPr="0033380D">
              <w:rPr>
                <w:rFonts w:ascii="Calibri" w:hAnsi="Calibri"/>
                <w:color w:val="FFFFFF"/>
              </w:rPr>
              <w:t xml:space="preserve"> (Reduced </w:t>
            </w:r>
            <w:r w:rsidR="00B2555D">
              <w:rPr>
                <w:rFonts w:ascii="Lucida Grande" w:eastAsia="ヒラギノ角ゴ Pro W3" w:hAnsi="Lucida Grande"/>
                <w:color w:val="FEFFFE"/>
              </w:rPr>
              <w:t>Underfive</w:t>
            </w:r>
            <w:r w:rsidR="0011636F" w:rsidRPr="0033380D">
              <w:rPr>
                <w:rFonts w:ascii="Calibri" w:hAnsi="Calibri"/>
                <w:color w:val="FFFFFF"/>
              </w:rPr>
              <w:t xml:space="preserve"> mortality by less than 50%)</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Angola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Cameroon</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Central African Republic</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Chad</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Comoros</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Congo</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Côte d’Ivoire</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Democratic Republic of the Congo</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Djibouti</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Equatorial Guinea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Gabon</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Ghana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lastRenderedPageBreak/>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Guinea-Bissau</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Kenya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Mauritania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Mauritius</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Namibia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Nigeria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Seychelles</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Sierra Leone</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Somalia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South Africa</w:t>
            </w:r>
          </w:p>
        </w:tc>
      </w:tr>
      <w:tr w:rsidR="00B2555D" w:rsidRPr="004B5FA8" w:rsidTr="004B5FA8">
        <w:trPr>
          <w:trHeight w:val="300"/>
        </w:trPr>
        <w:tc>
          <w:tcPr>
            <w:tcW w:w="4539" w:type="dxa"/>
            <w:tcBorders>
              <w:top w:val="nil"/>
              <w:left w:val="single" w:sz="8" w:space="0" w:color="FFFFFF"/>
              <w:bottom w:val="nil"/>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Sudan</w:t>
            </w:r>
          </w:p>
        </w:tc>
      </w:tr>
      <w:tr w:rsidR="00B2555D" w:rsidRPr="004B5FA8" w:rsidTr="004B5FA8">
        <w:trPr>
          <w:trHeight w:val="300"/>
        </w:trPr>
        <w:tc>
          <w:tcPr>
            <w:tcW w:w="4539" w:type="dxa"/>
            <w:tcBorders>
              <w:top w:val="nil"/>
              <w:left w:val="single" w:sz="8" w:space="0" w:color="FFFFFF"/>
              <w:bottom w:val="single" w:sz="4" w:space="0" w:color="FFFFFF"/>
              <w:right w:val="nil"/>
            </w:tcBorders>
            <w:shd w:val="clear" w:color="000000" w:fill="16365C"/>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single" w:sz="4" w:space="0" w:color="FFFFFF"/>
              <w:right w:val="single" w:sz="8" w:space="0" w:color="FFFFFF"/>
            </w:tcBorders>
            <w:shd w:val="clear" w:color="000000" w:fill="16365C"/>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Togo</w:t>
            </w:r>
          </w:p>
        </w:tc>
      </w:tr>
      <w:tr w:rsidR="00B2555D" w:rsidRPr="004B5FA8" w:rsidTr="004B5FA8">
        <w:trPr>
          <w:trHeight w:val="300"/>
        </w:trPr>
        <w:tc>
          <w:tcPr>
            <w:tcW w:w="4539" w:type="dxa"/>
            <w:tcBorders>
              <w:top w:val="nil"/>
              <w:left w:val="single" w:sz="8" w:space="0" w:color="FFFFFF"/>
              <w:bottom w:val="nil"/>
              <w:right w:val="nil"/>
            </w:tcBorders>
            <w:shd w:val="clear" w:color="000000" w:fill="0F243E"/>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Setback (4 countries)</w:t>
            </w:r>
            <w:r w:rsidR="0011636F" w:rsidRPr="0033380D">
              <w:rPr>
                <w:rFonts w:ascii="Calibri" w:hAnsi="Calibri"/>
                <w:color w:val="FFFFFF"/>
              </w:rPr>
              <w:t xml:space="preserve"> (</w:t>
            </w:r>
            <w:r w:rsidR="00B2555D" w:rsidRPr="00B11B33">
              <w:rPr>
                <w:rFonts w:ascii="Calibri" w:eastAsia="ヒラギノ角ゴ Pro W3" w:hAnsi="Calibri"/>
                <w:color w:val="FEFFFE"/>
              </w:rPr>
              <w:t>Underfive</w:t>
            </w:r>
            <w:r w:rsidR="0011636F" w:rsidRPr="0033380D">
              <w:rPr>
                <w:rFonts w:ascii="Calibri" w:hAnsi="Calibri"/>
                <w:color w:val="FFFFFF"/>
              </w:rPr>
              <w:t xml:space="preserve"> mortality higher than baseline)</w:t>
            </w:r>
          </w:p>
        </w:tc>
        <w:tc>
          <w:tcPr>
            <w:tcW w:w="4511" w:type="dxa"/>
            <w:tcBorders>
              <w:top w:val="nil"/>
              <w:left w:val="nil"/>
              <w:bottom w:val="nil"/>
              <w:right w:val="single" w:sz="8" w:space="0" w:color="FFFFFF"/>
            </w:tcBorders>
            <w:shd w:val="clear" w:color="000000" w:fill="0F243E"/>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Botswana</w:t>
            </w:r>
          </w:p>
        </w:tc>
      </w:tr>
      <w:tr w:rsidR="00B2555D" w:rsidRPr="004B5FA8" w:rsidTr="004B5FA8">
        <w:trPr>
          <w:trHeight w:val="300"/>
        </w:trPr>
        <w:tc>
          <w:tcPr>
            <w:tcW w:w="4539" w:type="dxa"/>
            <w:tcBorders>
              <w:top w:val="nil"/>
              <w:left w:val="single" w:sz="8" w:space="0" w:color="FFFFFF"/>
              <w:bottom w:val="nil"/>
              <w:right w:val="nil"/>
            </w:tcBorders>
            <w:shd w:val="clear" w:color="000000" w:fill="0F243E"/>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0F243E"/>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Lesotho</w:t>
            </w:r>
          </w:p>
        </w:tc>
      </w:tr>
      <w:tr w:rsidR="00B2555D" w:rsidRPr="004B5FA8" w:rsidTr="004B5FA8">
        <w:trPr>
          <w:trHeight w:val="300"/>
        </w:trPr>
        <w:tc>
          <w:tcPr>
            <w:tcW w:w="4539" w:type="dxa"/>
            <w:tcBorders>
              <w:top w:val="nil"/>
              <w:left w:val="single" w:sz="8" w:space="0" w:color="FFFFFF"/>
              <w:bottom w:val="nil"/>
              <w:right w:val="nil"/>
            </w:tcBorders>
            <w:shd w:val="clear" w:color="000000" w:fill="0F243E"/>
            <w:noWrap/>
            <w:vAlign w:val="bottom"/>
            <w:hideMark/>
          </w:tcPr>
          <w:p w:rsidR="004B5FA8" w:rsidRPr="0033380D" w:rsidRDefault="004B5FA8" w:rsidP="007312F7">
            <w:pPr>
              <w:jc w:val="both"/>
              <w:rPr>
                <w:rFonts w:ascii="Calibri" w:hAnsi="Calibri"/>
                <w:color w:val="FFFFFF"/>
              </w:rPr>
            </w:pPr>
            <w:r w:rsidRPr="0033380D">
              <w:rPr>
                <w:rFonts w:ascii="Calibri" w:hAnsi="Calibri"/>
                <w:color w:val="FFFFFF"/>
              </w:rPr>
              <w:t> </w:t>
            </w:r>
          </w:p>
        </w:tc>
        <w:tc>
          <w:tcPr>
            <w:tcW w:w="4511" w:type="dxa"/>
            <w:tcBorders>
              <w:top w:val="nil"/>
              <w:left w:val="nil"/>
              <w:bottom w:val="nil"/>
              <w:right w:val="single" w:sz="8" w:space="0" w:color="FFFFFF"/>
            </w:tcBorders>
            <w:shd w:val="clear" w:color="000000" w:fill="0F243E"/>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Swaziland</w:t>
            </w:r>
          </w:p>
        </w:tc>
      </w:tr>
      <w:tr w:rsidR="00B2555D" w:rsidRPr="004B5FA8" w:rsidTr="004B5FA8">
        <w:trPr>
          <w:trHeight w:val="314"/>
        </w:trPr>
        <w:tc>
          <w:tcPr>
            <w:tcW w:w="4539" w:type="dxa"/>
            <w:tcBorders>
              <w:top w:val="nil"/>
              <w:left w:val="single" w:sz="8" w:space="0" w:color="FFFFFF"/>
              <w:bottom w:val="single" w:sz="8" w:space="0" w:color="FFFFFF"/>
              <w:right w:val="nil"/>
            </w:tcBorders>
            <w:shd w:val="clear" w:color="000000" w:fill="0F243E"/>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 </w:t>
            </w:r>
          </w:p>
        </w:tc>
        <w:tc>
          <w:tcPr>
            <w:tcW w:w="4511" w:type="dxa"/>
            <w:tcBorders>
              <w:top w:val="nil"/>
              <w:left w:val="nil"/>
              <w:bottom w:val="single" w:sz="8" w:space="0" w:color="FFFFFF"/>
              <w:right w:val="single" w:sz="8" w:space="0" w:color="FFFFFF"/>
            </w:tcBorders>
            <w:shd w:val="clear" w:color="000000" w:fill="0F243E"/>
            <w:noWrap/>
            <w:vAlign w:val="bottom"/>
            <w:hideMark/>
          </w:tcPr>
          <w:p w:rsidR="004B5FA8" w:rsidRPr="0033380D" w:rsidRDefault="004B5FA8" w:rsidP="007312F7">
            <w:pPr>
              <w:jc w:val="both"/>
              <w:rPr>
                <w:rFonts w:ascii="Calibri" w:hAnsi="Calibri"/>
                <w:color w:val="FFFFFF"/>
                <w:sz w:val="20"/>
              </w:rPr>
            </w:pPr>
            <w:r w:rsidRPr="0033380D">
              <w:rPr>
                <w:rFonts w:ascii="Calibri" w:hAnsi="Calibri"/>
                <w:color w:val="FFFFFF"/>
                <w:sz w:val="20"/>
              </w:rPr>
              <w:t>Zimbabwe</w:t>
            </w:r>
          </w:p>
        </w:tc>
      </w:tr>
    </w:tbl>
    <w:p w:rsidR="00B2555D" w:rsidRDefault="00B2555D" w:rsidP="007312F7">
      <w:pPr>
        <w:jc w:val="both"/>
        <w:rPr>
          <w:color w:val="000000"/>
          <w:sz w:val="16"/>
        </w:rPr>
      </w:pPr>
      <w:r>
        <w:rPr>
          <w:sz w:val="16"/>
        </w:rPr>
        <w:t xml:space="preserve">Table adapted from </w:t>
      </w:r>
      <w:r>
        <w:rPr>
          <w:sz w:val="16"/>
          <w:vertAlign w:val="superscript"/>
        </w:rPr>
        <w:t>5</w:t>
      </w:r>
    </w:p>
    <w:p w:rsidR="00B2555D" w:rsidRDefault="00B2555D" w:rsidP="007312F7">
      <w:pPr>
        <w:jc w:val="both"/>
      </w:pPr>
    </w:p>
    <w:p w:rsidR="005C2DEE" w:rsidRDefault="0011636F" w:rsidP="007312F7">
      <w:pPr>
        <w:jc w:val="both"/>
      </w:pPr>
      <w:r>
        <w:t xml:space="preserve">Countries that experienced setback </w:t>
      </w:r>
      <w:r w:rsidR="00741212">
        <w:t xml:space="preserve">and had higher </w:t>
      </w:r>
      <w:r w:rsidR="00B2555D">
        <w:t>under</w:t>
      </w:r>
      <w:r w:rsidR="007312F7">
        <w:t>-</w:t>
      </w:r>
      <w:r w:rsidR="00B2555D">
        <w:t>five</w:t>
      </w:r>
      <w:r w:rsidR="00741212">
        <w:t xml:space="preserve"> mortality than the 1990 baseline typically also experienced extremely high burden of HIV, which would partially explain this set of results.</w:t>
      </w:r>
    </w:p>
    <w:p w:rsidR="00741212" w:rsidRDefault="00741212" w:rsidP="007312F7">
      <w:pPr>
        <w:jc w:val="both"/>
      </w:pPr>
    </w:p>
    <w:p w:rsidR="00741212" w:rsidRDefault="00741212" w:rsidP="007312F7">
      <w:pPr>
        <w:jc w:val="both"/>
      </w:pPr>
      <w:r>
        <w:t xml:space="preserve">The table below summarises the percentage change in </w:t>
      </w:r>
      <w:r w:rsidR="00B2555D">
        <w:t>under</w:t>
      </w:r>
      <w:r w:rsidR="007312F7">
        <w:t>-</w:t>
      </w:r>
      <w:r w:rsidR="00B2555D">
        <w:t>five</w:t>
      </w:r>
      <w:r>
        <w:t xml:space="preserve"> mortality on the continent at the end of 2013.</w:t>
      </w:r>
    </w:p>
    <w:p w:rsidR="00F54825" w:rsidRDefault="00F54825" w:rsidP="007312F7">
      <w:pPr>
        <w:pStyle w:val="Caption1"/>
        <w:keepNext/>
        <w:jc w:val="both"/>
        <w:rPr>
          <w:rFonts w:hint="eastAsia"/>
        </w:rPr>
      </w:pPr>
    </w:p>
    <w:p w:rsidR="0038110A" w:rsidRDefault="0038110A" w:rsidP="007312F7">
      <w:pPr>
        <w:pStyle w:val="Caption"/>
        <w:keepNext/>
        <w:jc w:val="both"/>
      </w:pPr>
      <w:bookmarkStart w:id="10" w:name="_Toc411525269"/>
      <w:r>
        <w:t xml:space="preserve">Table </w:t>
      </w:r>
      <w:fldSimple w:instr=" SEQ Table \* ARABIC ">
        <w:r>
          <w:rPr>
            <w:noProof/>
          </w:rPr>
          <w:t>2</w:t>
        </w:r>
      </w:fldSimple>
      <w:r>
        <w:t>: Percentage Reduction of Under Five mortality from 1990 baseline</w:t>
      </w:r>
      <w:bookmarkEnd w:id="10"/>
    </w:p>
    <w:tbl>
      <w:tblPr>
        <w:tblStyle w:val="MediumShading1-Accent3"/>
        <w:tblW w:w="7338" w:type="dxa"/>
        <w:tblLook w:val="04A0" w:firstRow="1" w:lastRow="0" w:firstColumn="1" w:lastColumn="0" w:noHBand="0" w:noVBand="1"/>
      </w:tblPr>
      <w:tblGrid>
        <w:gridCol w:w="3369"/>
        <w:gridCol w:w="3969"/>
      </w:tblGrid>
      <w:tr w:rsidR="00F54825" w:rsidRPr="00F54825" w:rsidTr="007312F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tcPr>
          <w:p w:rsidR="00F54825" w:rsidRPr="009923A9" w:rsidRDefault="00F54825" w:rsidP="007312F7">
            <w:pPr>
              <w:jc w:val="both"/>
              <w:rPr>
                <w:rFonts w:ascii="Arial" w:eastAsia="Times New Roman" w:hAnsi="Arial" w:cs="Arial"/>
                <w:sz w:val="20"/>
                <w:szCs w:val="20"/>
                <w:lang w:eastAsia="en-GB"/>
              </w:rPr>
            </w:pPr>
            <w:r w:rsidRPr="009923A9">
              <w:rPr>
                <w:rFonts w:ascii="Arial" w:eastAsia="Times New Roman" w:hAnsi="Arial" w:cs="Arial"/>
                <w:sz w:val="20"/>
                <w:szCs w:val="20"/>
                <w:lang w:eastAsia="en-GB"/>
              </w:rPr>
              <w:t>Country</w:t>
            </w:r>
          </w:p>
        </w:tc>
        <w:tc>
          <w:tcPr>
            <w:tcW w:w="3969" w:type="dxa"/>
            <w:noWrap/>
          </w:tcPr>
          <w:p w:rsidR="00F54825" w:rsidRPr="007312F7" w:rsidRDefault="00F54825" w:rsidP="007312F7">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7312F7">
              <w:rPr>
                <w:rFonts w:ascii="Arial" w:eastAsia="Times New Roman" w:hAnsi="Arial" w:cs="Arial"/>
                <w:sz w:val="20"/>
                <w:szCs w:val="20"/>
                <w:lang w:eastAsia="en-GB"/>
              </w:rPr>
              <w:t>Percentage reduction of U5 mortality against 1990 baseline</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Algeria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46.5%</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Angola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25.9%</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Benin</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52.5%</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Botswana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5.9%</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Burkina Faso</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51.7%</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Burundi</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51.5%</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Cameroon</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30.7%</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Cape Verde</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58.7%</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Central African Rep</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21.3%</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Chad</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31.3%</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Comoros</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37.9%</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Congo</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46.7%</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Djibouti</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41.3%</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DRC</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32.7%</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Egypt</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74.4%</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Equatorial Guinea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47.9%</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 xml:space="preserve">Eritrea </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66.9%</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Ethiopia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68.6%</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Gabon</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39.5%</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Gambia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56.5%</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Ghana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38.8%</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Guinea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57.6%</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lastRenderedPageBreak/>
              <w:t>Guinea-Bissau</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44.9%</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Ivory Coast</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34.0%</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Kenya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28.4%</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Lesotho</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-13.6%</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Liberia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71.3%</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Libya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65.8%</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Madagascar</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65.2%</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Malawi</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72.3%</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Mali</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51.7%</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Mauritania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23.5%</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Mauritius</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38.1%</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Mozambique</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63.2%</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Namibia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32.3%</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Niger</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68.2%</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Nigeria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44.9%</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Rwanda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65.7%</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Sao Tome and Principe</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53.8%</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Senegal</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60.8%</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Seychelles</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13.9%</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Sierra Leone</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40.0%</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Somalia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19.0%</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South Africa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28.0%</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South Sudan</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60.8%</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Sudan</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40.2%</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Swaziland</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-8.3%</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Tanzania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69.0%</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Togo</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42.1%</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Tunisia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70.9%</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Uganda</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63.0%</w:t>
            </w:r>
          </w:p>
        </w:tc>
      </w:tr>
      <w:tr w:rsidR="00F54825" w:rsidRPr="00F54825" w:rsidTr="007312F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Zambia</w:t>
            </w:r>
          </w:p>
        </w:tc>
        <w:tc>
          <w:tcPr>
            <w:tcW w:w="3969" w:type="dxa"/>
            <w:noWrap/>
            <w:hideMark/>
          </w:tcPr>
          <w:p w:rsidR="00F54825" w:rsidRPr="00F54825" w:rsidRDefault="00F54825" w:rsidP="007312F7">
            <w:pPr>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54.6%</w:t>
            </w:r>
          </w:p>
        </w:tc>
      </w:tr>
      <w:tr w:rsidR="00F54825" w:rsidRPr="00F54825" w:rsidTr="007312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69" w:type="dxa"/>
            <w:noWrap/>
            <w:hideMark/>
          </w:tcPr>
          <w:p w:rsidR="00F54825" w:rsidRPr="00F54825" w:rsidRDefault="00F54825" w:rsidP="007312F7">
            <w:pPr>
              <w:jc w:val="both"/>
              <w:rPr>
                <w:rFonts w:ascii="Arial" w:eastAsia="Times New Roman" w:hAnsi="Arial" w:cs="Arial"/>
                <w:sz w:val="20"/>
                <w:szCs w:val="20"/>
                <w:lang w:eastAsia="en-GB"/>
              </w:rPr>
            </w:pPr>
            <w:r w:rsidRPr="00F54825">
              <w:rPr>
                <w:rFonts w:ascii="Arial" w:eastAsia="Times New Roman" w:hAnsi="Arial" w:cs="Arial"/>
                <w:sz w:val="20"/>
                <w:szCs w:val="20"/>
                <w:lang w:eastAsia="en-GB"/>
              </w:rPr>
              <w:t>Zimbabwe</w:t>
            </w:r>
          </w:p>
        </w:tc>
        <w:tc>
          <w:tcPr>
            <w:tcW w:w="3969" w:type="dxa"/>
            <w:noWrap/>
            <w:hideMark/>
          </w:tcPr>
          <w:p w:rsidR="00F54825" w:rsidRPr="00F54825" w:rsidRDefault="00F54825" w:rsidP="007312F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F54825">
              <w:rPr>
                <w:rFonts w:ascii="Arial" w:eastAsia="Times New Roman" w:hAnsi="Arial" w:cs="Arial"/>
                <w:sz w:val="20"/>
                <w:szCs w:val="20"/>
                <w:lang w:eastAsia="en-GB"/>
              </w:rPr>
              <w:t>-18.6%</w:t>
            </w:r>
          </w:p>
        </w:tc>
      </w:tr>
    </w:tbl>
    <w:p w:rsidR="00741212" w:rsidRDefault="00741212" w:rsidP="007312F7">
      <w:pPr>
        <w:jc w:val="both"/>
      </w:pPr>
    </w:p>
    <w:p w:rsidR="004226C1" w:rsidRDefault="004226C1" w:rsidP="007312F7">
      <w:pPr>
        <w:pStyle w:val="Heading2"/>
        <w:jc w:val="both"/>
      </w:pPr>
      <w:bookmarkStart w:id="11" w:name="_TOC25565"/>
      <w:bookmarkStart w:id="12" w:name="_Toc411525474"/>
      <w:bookmarkEnd w:id="11"/>
      <w:r>
        <w:t xml:space="preserve">Infant </w:t>
      </w:r>
      <w:r w:rsidR="00FC503E">
        <w:t xml:space="preserve">and Neonatal </w:t>
      </w:r>
      <w:r>
        <w:t>Mortality</w:t>
      </w:r>
      <w:bookmarkEnd w:id="12"/>
    </w:p>
    <w:p w:rsidR="003F53F1" w:rsidRDefault="00FC503E" w:rsidP="007312F7">
      <w:pPr>
        <w:jc w:val="both"/>
      </w:pPr>
      <w:r>
        <w:t>Even though specific targets were not set in the MDGs on infant and neonatal mortality</w:t>
      </w:r>
      <w:r w:rsidR="00446455">
        <w:t xml:space="preserve">, these measures </w:t>
      </w:r>
      <w:r w:rsidR="00376245">
        <w:t xml:space="preserve">provide additional insight to the under-five mortality trends pointing on where issues may be. </w:t>
      </w:r>
      <w:r w:rsidR="00446455">
        <w:t xml:space="preserve">Globally, by 2013 there </w:t>
      </w:r>
      <w:r w:rsidR="00376245">
        <w:t>was</w:t>
      </w:r>
      <w:r w:rsidR="00446455">
        <w:t xml:space="preserve"> a 46% fall in the infant mortality rate as compared to 1990 levels; and an antecedent 40% decline in neonatal mortality for the same </w:t>
      </w:r>
      <w:r w:rsidR="00B2555D">
        <w:t>period</w:t>
      </w:r>
      <w:r w:rsidR="00B2555D">
        <w:rPr>
          <w:vertAlign w:val="superscript"/>
        </w:rPr>
        <w:t>6</w:t>
      </w:r>
      <w:r w:rsidR="00B2555D">
        <w:t>. Declines in neonatal mortality have not kept up with the declines in under</w:t>
      </w:r>
      <w:r w:rsidR="007312F7">
        <w:t>-</w:t>
      </w:r>
      <w:r w:rsidR="00B2555D">
        <w:t>five mortality.</w:t>
      </w:r>
      <w:r w:rsidR="00E30E9D">
        <w:t xml:space="preserve"> </w:t>
      </w:r>
      <w:r w:rsidR="00F17654">
        <w:t xml:space="preserve">In </w:t>
      </w:r>
      <w:r w:rsidR="003F53F1">
        <w:t>Africa</w:t>
      </w:r>
      <w:r w:rsidR="00F17654">
        <w:t xml:space="preserve"> South of the Sahara</w:t>
      </w:r>
      <w:r w:rsidR="003F53F1">
        <w:t xml:space="preserve">, the neonatal mortality rate declined by an average of 32%, as compared to a decline of 55% for the </w:t>
      </w:r>
      <w:r w:rsidR="00B2555D">
        <w:t>under</w:t>
      </w:r>
      <w:r w:rsidR="007312F7">
        <w:t>-</w:t>
      </w:r>
      <w:r w:rsidR="00B2555D">
        <w:t>five</w:t>
      </w:r>
      <w:r w:rsidR="003F53F1">
        <w:t xml:space="preserve"> mortality rates between 1990 – 2013.</w:t>
      </w:r>
    </w:p>
    <w:p w:rsidR="003F53F1" w:rsidRDefault="003F53F1" w:rsidP="007312F7">
      <w:pPr>
        <w:jc w:val="both"/>
      </w:pPr>
    </w:p>
    <w:p w:rsidR="00193352" w:rsidRDefault="00193352" w:rsidP="007312F7">
      <w:pPr>
        <w:pStyle w:val="Caption"/>
        <w:keepNext/>
        <w:jc w:val="both"/>
      </w:pPr>
      <w:bookmarkStart w:id="13" w:name="TOC408286186"/>
      <w:bookmarkStart w:id="14" w:name="_Toc411525282"/>
      <w:r>
        <w:lastRenderedPageBreak/>
        <w:t xml:space="preserve">Graph </w:t>
      </w:r>
      <w:fldSimple w:instr=" SEQ Graph \* ARABIC ">
        <w:r w:rsidR="00641459">
          <w:rPr>
            <w:noProof/>
          </w:rPr>
          <w:t>2</w:t>
        </w:r>
      </w:fldSimple>
      <w:r>
        <w:t xml:space="preserve">: Decline in </w:t>
      </w:r>
      <w:r w:rsidR="00B2555D">
        <w:t>Neonatal and Post-</w:t>
      </w:r>
      <w:r>
        <w:t xml:space="preserve">neonatal </w:t>
      </w:r>
      <w:r w:rsidR="00B2555D">
        <w:t>Mortality Rates</w:t>
      </w:r>
      <w:bookmarkEnd w:id="13"/>
      <w:bookmarkEnd w:id="14"/>
    </w:p>
    <w:p w:rsidR="003F53F1" w:rsidRDefault="00296174" w:rsidP="007312F7">
      <w:pPr>
        <w:jc w:val="both"/>
      </w:pPr>
      <w:r>
        <w:rPr>
          <w:noProof/>
          <w:lang w:val="en-US"/>
        </w:rPr>
        <w:drawing>
          <wp:inline distT="0" distB="0" distL="0" distR="0" wp14:anchorId="1CD96500" wp14:editId="5B046081">
            <wp:extent cx="4791075" cy="5572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075" cy="5572125"/>
                    </a:xfrm>
                    <a:prstGeom prst="rect">
                      <a:avLst/>
                    </a:prstGeom>
                    <a:noFill/>
                    <a:ln>
                      <a:noFill/>
                    </a:ln>
                  </pic:spPr>
                </pic:pic>
              </a:graphicData>
            </a:graphic>
          </wp:inline>
        </w:drawing>
      </w:r>
    </w:p>
    <w:p w:rsidR="003F53F1" w:rsidRDefault="003F53F1" w:rsidP="007312F7">
      <w:pPr>
        <w:jc w:val="both"/>
      </w:pPr>
    </w:p>
    <w:p w:rsidR="00446455" w:rsidRDefault="00E30E9D" w:rsidP="007312F7">
      <w:pPr>
        <w:jc w:val="both"/>
      </w:pPr>
      <w:r>
        <w:t xml:space="preserve">Considering </w:t>
      </w:r>
      <w:r w:rsidR="007312F7">
        <w:t>that,</w:t>
      </w:r>
      <w:r>
        <w:t xml:space="preserve"> nearly 25% of </w:t>
      </w:r>
      <w:r w:rsidR="00B2555D">
        <w:t>under</w:t>
      </w:r>
      <w:r w:rsidR="007312F7">
        <w:t>-</w:t>
      </w:r>
      <w:r w:rsidR="00B2555D">
        <w:t>five</w:t>
      </w:r>
      <w:r>
        <w:t xml:space="preserve"> mortality </w:t>
      </w:r>
      <w:r w:rsidR="00E32D81">
        <w:t>occurs during the neonatal period</w:t>
      </w:r>
      <w:r>
        <w:t xml:space="preserve">; the toll exerted by neonatal deaths on the absolute number of child deaths </w:t>
      </w:r>
      <w:r w:rsidR="00B2555D">
        <w:t>is considerable.</w:t>
      </w:r>
      <w:r>
        <w:t xml:space="preserve"> Deliberate policies and renewed actions focusing on neonatal and early childhood health are thus extremely important to achieve further gains on the reduction of </w:t>
      </w:r>
      <w:r w:rsidR="00B2555D">
        <w:t>under</w:t>
      </w:r>
      <w:r w:rsidR="007312F7">
        <w:t>-</w:t>
      </w:r>
      <w:r w:rsidR="00B2555D">
        <w:t>five</w:t>
      </w:r>
      <w:r>
        <w:t xml:space="preserve"> mortality on the continent.</w:t>
      </w:r>
    </w:p>
    <w:p w:rsidR="003F53F1" w:rsidRDefault="003F53F1" w:rsidP="007312F7">
      <w:pPr>
        <w:jc w:val="both"/>
      </w:pPr>
    </w:p>
    <w:p w:rsidR="003F53F1" w:rsidRDefault="002E72C0" w:rsidP="007312F7">
      <w:pPr>
        <w:jc w:val="both"/>
      </w:pPr>
      <w:r>
        <w:t>The infant mortality rate has been reduced in nearly all African countries, but the reductions seem to progress at a very slow rate since 2010. However, there is considerable reduction in the infant mortality rate as compared to the 1990 baseline.</w:t>
      </w:r>
      <w:r w:rsidR="00B2555D">
        <w:t xml:space="preserve"> </w:t>
      </w:r>
      <w:r w:rsidR="00E32D81">
        <w:t xml:space="preserve">Graph 3 </w:t>
      </w:r>
      <w:r w:rsidR="00B2555D">
        <w:t>displays</w:t>
      </w:r>
      <w:r w:rsidR="00E32D81">
        <w:t xml:space="preserve"> the infant mortality levels in 1990, and the years 2010 – 2013.</w:t>
      </w:r>
    </w:p>
    <w:p w:rsidR="00BA2769" w:rsidRDefault="00BA2769" w:rsidP="007312F7">
      <w:pPr>
        <w:jc w:val="both"/>
      </w:pPr>
    </w:p>
    <w:p w:rsidR="00193352" w:rsidRDefault="00193352" w:rsidP="007312F7">
      <w:pPr>
        <w:pStyle w:val="Caption"/>
        <w:keepNext/>
        <w:jc w:val="both"/>
      </w:pPr>
      <w:bookmarkStart w:id="15" w:name="TOC408286187"/>
      <w:r>
        <w:lastRenderedPageBreak/>
        <w:t xml:space="preserve">Graph </w:t>
      </w:r>
      <w:r w:rsidR="00B2555D">
        <w:t>3:</w:t>
      </w:r>
      <w:r>
        <w:t xml:space="preserve"> Infant Mortality Rates 1990, 2010, 2013</w:t>
      </w:r>
      <w:bookmarkEnd w:id="15"/>
    </w:p>
    <w:p w:rsidR="00BA2769" w:rsidRDefault="00685096" w:rsidP="007312F7">
      <w:pPr>
        <w:jc w:val="both"/>
      </w:pPr>
      <w:r>
        <w:rPr>
          <w:noProof/>
          <w:lang w:val="en-US"/>
        </w:rPr>
        <w:drawing>
          <wp:inline distT="0" distB="0" distL="0" distR="0" wp14:anchorId="029D7DB0" wp14:editId="6EEB7A50">
            <wp:extent cx="5543550" cy="816292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316C" w:rsidRDefault="007B316C" w:rsidP="007312F7">
      <w:pPr>
        <w:jc w:val="both"/>
      </w:pPr>
    </w:p>
    <w:p w:rsidR="009000D3" w:rsidRPr="00C10569" w:rsidRDefault="007B316C" w:rsidP="007312F7">
      <w:pPr>
        <w:pStyle w:val="Heading2"/>
        <w:jc w:val="both"/>
      </w:pPr>
      <w:bookmarkStart w:id="16" w:name="_TOC27062"/>
      <w:bookmarkStart w:id="17" w:name="_Toc411525475"/>
      <w:bookmarkEnd w:id="16"/>
      <w:r w:rsidRPr="00C10569">
        <w:t>Nutrition</w:t>
      </w:r>
      <w:bookmarkEnd w:id="17"/>
    </w:p>
    <w:p w:rsidR="003D0596" w:rsidRDefault="00A27C2C" w:rsidP="007312F7">
      <w:pPr>
        <w:jc w:val="both"/>
      </w:pPr>
      <w:r>
        <w:t>Nutrition</w:t>
      </w:r>
      <w:r w:rsidR="000A3282">
        <w:t xml:space="preserve"> is </w:t>
      </w:r>
      <w:r w:rsidR="007B316C">
        <w:t xml:space="preserve">a vital component of child health, and </w:t>
      </w:r>
      <w:r w:rsidR="003D0596">
        <w:t>is an i</w:t>
      </w:r>
      <w:r w:rsidR="007B316C">
        <w:t xml:space="preserve">ntegral part </w:t>
      </w:r>
      <w:r>
        <w:t xml:space="preserve">of any child health programme; as well as a major driver of policies and actions </w:t>
      </w:r>
      <w:r w:rsidR="003D0596">
        <w:t xml:space="preserve">for improving </w:t>
      </w:r>
      <w:r>
        <w:t>child health.</w:t>
      </w:r>
    </w:p>
    <w:p w:rsidR="003D0596" w:rsidRDefault="003D0596" w:rsidP="007312F7">
      <w:pPr>
        <w:jc w:val="both"/>
      </w:pPr>
    </w:p>
    <w:p w:rsidR="003D0596" w:rsidRDefault="003D0596" w:rsidP="007312F7">
      <w:pPr>
        <w:jc w:val="both"/>
      </w:pPr>
      <w:r w:rsidRPr="003D0596">
        <w:lastRenderedPageBreak/>
        <w:t>Achieving nutrition and food security would generate immediate impact on the achievement of the</w:t>
      </w:r>
      <w:r>
        <w:t xml:space="preserve"> </w:t>
      </w:r>
      <w:r w:rsidRPr="003D0596">
        <w:t>Millennium Development Goals (MDGs). If child</w:t>
      </w:r>
      <w:r>
        <w:t xml:space="preserve"> </w:t>
      </w:r>
      <w:r w:rsidRPr="003D0596">
        <w:t>undernutrition were reduced, there would be a direct</w:t>
      </w:r>
      <w:r>
        <w:t xml:space="preserve"> </w:t>
      </w:r>
      <w:r w:rsidRPr="003D0596">
        <w:t>improvement in child mortality rates, as undernutrition is the single most important contributor to</w:t>
      </w:r>
      <w:r w:rsidR="007312F7">
        <w:t xml:space="preserve"> </w:t>
      </w:r>
      <w:r w:rsidRPr="003D0596">
        <w:t>child mortality. If girls were not undernourished, they would be less likely to bear underweight</w:t>
      </w:r>
      <w:r w:rsidR="00507BD7">
        <w:t xml:space="preserve"> </w:t>
      </w:r>
      <w:r w:rsidRPr="003D0596">
        <w:t>children. Further, healthy children would be more productive as</w:t>
      </w:r>
      <w:r w:rsidR="00507BD7">
        <w:t xml:space="preserve"> </w:t>
      </w:r>
      <w:r w:rsidRPr="003D0596">
        <w:t>adults and would have a higher chance</w:t>
      </w:r>
      <w:r w:rsidR="00507BD7">
        <w:t xml:space="preserve"> </w:t>
      </w:r>
      <w:r w:rsidRPr="003D0596">
        <w:t>of breaking the cycle of poverty for their families</w:t>
      </w:r>
      <w:r w:rsidR="00507BD7">
        <w:fldChar w:fldCharType="begin" w:fldLock="1"/>
      </w:r>
      <w:r w:rsidR="00B56F2B">
        <w:instrText>ADDIN CSL_CITATION { "citationItems" : [ { "id" : "ITEM-1", "itemData" : { "author" : [ { "dropping-particle" : "", "family" : "African Union Commission", "given" : "", "non-dropping-particle" : "", "parse-names" : false, "suffix" : "" } ], "id" : "ITEM-1", "issued" : { "date-parts" : [ [ "2014" ] ] }, "title" : "The Cost of Hunger in Africa: Social and Economic Impact of Child Undernutrition in Egypt, Ethiopia, Swaziland and Uganda", "type" : "report" }, "uris" : [ "http://www.mendeley.com/documents/?uuid=0f57147a-5e56-4f42-9cac-87448afb072a" ] } ], "mendeley" : { "formattedCitation" : "&lt;sup&gt;7&lt;/sup&gt;", "plainTextFormattedCitation" : "7", "previouslyFormattedCitation" : "&lt;sup&gt;7&lt;/sup&gt;" }, "properties" : { "noteIndex" : 0 }, "schema" : "https://github.com/citation-style-language/schema/raw/master/csl-citation.json" }</w:instrText>
      </w:r>
      <w:r w:rsidR="00507BD7">
        <w:fldChar w:fldCharType="separate"/>
      </w:r>
      <w:r w:rsidR="007D14FF" w:rsidRPr="007D14FF">
        <w:rPr>
          <w:noProof/>
          <w:vertAlign w:val="superscript"/>
        </w:rPr>
        <w:t>7</w:t>
      </w:r>
      <w:r w:rsidR="00507BD7">
        <w:fldChar w:fldCharType="end"/>
      </w:r>
      <w:r w:rsidR="00507BD7">
        <w:t>.</w:t>
      </w:r>
    </w:p>
    <w:p w:rsidR="003D0596" w:rsidRDefault="003D0596" w:rsidP="007312F7">
      <w:pPr>
        <w:jc w:val="both"/>
      </w:pPr>
    </w:p>
    <w:p w:rsidR="00A27C2C" w:rsidRDefault="00A27C2C" w:rsidP="007312F7">
      <w:pPr>
        <w:jc w:val="both"/>
      </w:pPr>
      <w:r>
        <w:t>Nearly</w:t>
      </w:r>
      <w:r w:rsidR="00507BD7">
        <w:t xml:space="preserve"> </w:t>
      </w:r>
      <w:r w:rsidR="00BA6A91">
        <w:t xml:space="preserve">two thirds </w:t>
      </w:r>
      <w:r>
        <w:t>of all child d</w:t>
      </w:r>
      <w:r w:rsidR="00051BF1">
        <w:t>eaths are associated with under</w:t>
      </w:r>
      <w:r>
        <w:t xml:space="preserve">nutrition. The </w:t>
      </w:r>
      <w:r w:rsidR="0005182D">
        <w:t>long-term</w:t>
      </w:r>
      <w:r>
        <w:t xml:space="preserve"> conseq</w:t>
      </w:r>
      <w:r w:rsidR="00051BF1">
        <w:t>uences of early childhood under</w:t>
      </w:r>
      <w:r w:rsidR="0008607C">
        <w:t>nutrition</w:t>
      </w:r>
      <w:r>
        <w:t xml:space="preserve"> leave millions of children worldwide with overt or veiled </w:t>
      </w:r>
      <w:r w:rsidR="0008607C">
        <w:t xml:space="preserve">physical and mental impairment. Significantly, </w:t>
      </w:r>
      <w:r w:rsidR="00B12E1F">
        <w:t>interventions in the first 1000 days of a child’s life have the highest impact on survival and long</w:t>
      </w:r>
      <w:r w:rsidR="00BA6A91">
        <w:t>-</w:t>
      </w:r>
      <w:r w:rsidR="00B12E1F">
        <w:t>term</w:t>
      </w:r>
      <w:r w:rsidR="00AC2CE8">
        <w:t xml:space="preserve"> learning and productivity of children. It is estimated that children with stunting earn, as adults, an average 20% less than </w:t>
      </w:r>
      <w:r w:rsidR="00E30E9D">
        <w:t>non-stunted</w:t>
      </w:r>
      <w:r w:rsidR="00AC2CE8">
        <w:t xml:space="preserve"> children.</w:t>
      </w:r>
      <w:r w:rsidR="00B118B5">
        <w:t xml:space="preserve"> Every hour nearly 300 children die </w:t>
      </w:r>
      <w:r w:rsidR="007A5327">
        <w:t>because</w:t>
      </w:r>
      <w:r w:rsidR="00B118B5">
        <w:t xml:space="preserve"> of undernutrition</w:t>
      </w:r>
      <w:r w:rsidR="00B2555D">
        <w:t xml:space="preserve"> and</w:t>
      </w:r>
      <w:r w:rsidR="00B118B5">
        <w:t xml:space="preserve"> thousands more are left with permanent </w:t>
      </w:r>
      <w:r w:rsidR="000672F0">
        <w:t>disabilities</w:t>
      </w:r>
      <w:r w:rsidR="00B118B5">
        <w:t>.</w:t>
      </w:r>
      <w:r w:rsidR="00AD7C6C">
        <w:t xml:space="preserve"> More than 99 million children globally are undernourished and stunted.</w:t>
      </w:r>
      <w:r w:rsidR="00507BD7">
        <w:t xml:space="preserve"> </w:t>
      </w:r>
      <w:r w:rsidR="00507BD7" w:rsidRPr="00507BD7">
        <w:t>Undernutrition leads to a significant loss in human and economic potential. Studies carried out in</w:t>
      </w:r>
      <w:r w:rsidR="00507BD7">
        <w:t xml:space="preserve"> </w:t>
      </w:r>
      <w:r w:rsidR="00507BD7" w:rsidRPr="00507BD7">
        <w:t>Zimbabwe show that lost schooling equivalent to 0.7 grades corresponds to a 12</w:t>
      </w:r>
      <w:r w:rsidR="00B2555D">
        <w:t>% loss in wealth throughout a lifetime</w:t>
      </w:r>
      <w:r w:rsidR="00B2555D">
        <w:rPr>
          <w:vertAlign w:val="superscript"/>
        </w:rPr>
        <w:t>8</w:t>
      </w:r>
      <w:r w:rsidR="00B2555D">
        <w:t>.</w:t>
      </w:r>
    </w:p>
    <w:p w:rsidR="00982C1C" w:rsidRDefault="00982C1C" w:rsidP="007312F7">
      <w:pPr>
        <w:jc w:val="both"/>
      </w:pPr>
    </w:p>
    <w:p w:rsidR="00982C1C" w:rsidRDefault="009A64E0" w:rsidP="007312F7">
      <w:pPr>
        <w:jc w:val="both"/>
      </w:pPr>
      <w:r w:rsidRPr="009A64E0">
        <w:t>Globally, there has been progress in reducing both stunting rates and the number</w:t>
      </w:r>
      <w:r>
        <w:t xml:space="preserve"> </w:t>
      </w:r>
      <w:r w:rsidRPr="009A64E0">
        <w:t>of stunted children in the last 20 years. In Africa, the proportion of stunted children reported has</w:t>
      </w:r>
      <w:r>
        <w:t xml:space="preserve"> </w:t>
      </w:r>
      <w:r w:rsidRPr="009A64E0">
        <w:t>decreased from 41.6</w:t>
      </w:r>
      <w:r w:rsidR="009703B6">
        <w:t xml:space="preserve"> </w:t>
      </w:r>
      <w:r w:rsidRPr="009A64E0">
        <w:t>percent (1990) to 35.</w:t>
      </w:r>
      <w:r>
        <w:t>6 percent (2011)</w:t>
      </w:r>
      <w:r w:rsidRPr="009A64E0">
        <w:t>. Nevertheless, for that</w:t>
      </w:r>
      <w:r>
        <w:t xml:space="preserve"> </w:t>
      </w:r>
      <w:r w:rsidRPr="009A64E0">
        <w:t>same period, the number of stunted children has increased from 45.7 million to 56.3 million</w:t>
      </w:r>
      <w:r>
        <w:t xml:space="preserve"> </w:t>
      </w:r>
      <w:r w:rsidRPr="009A64E0">
        <w:t xml:space="preserve">evidencing that stronger efforts must be put in place to have a decisive impact. The </w:t>
      </w:r>
      <w:r w:rsidR="00B2555D">
        <w:t>largest</w:t>
      </w:r>
      <w:r w:rsidRPr="009A64E0">
        <w:t xml:space="preserve"> proportion</w:t>
      </w:r>
      <w:r>
        <w:t xml:space="preserve"> </w:t>
      </w:r>
      <w:r w:rsidRPr="009A64E0">
        <w:t>of these chil</w:t>
      </w:r>
      <w:r>
        <w:t>dren are located in East Africa</w:t>
      </w:r>
      <w:r w:rsidRPr="009A64E0">
        <w:t>, where 22.8 million represent more than 40 percent of all</w:t>
      </w:r>
      <w:r>
        <w:t xml:space="preserve"> </w:t>
      </w:r>
      <w:r w:rsidRPr="009A64E0">
        <w:t>stunted children on the continent. Together with West Africa, they account for three out of every four</w:t>
      </w:r>
      <w:r>
        <w:t xml:space="preserve"> </w:t>
      </w:r>
      <w:r w:rsidRPr="009A64E0">
        <w:t>stunted children on the continent.</w:t>
      </w:r>
      <w:r>
        <w:t xml:space="preserve"> </w:t>
      </w:r>
      <w:r w:rsidR="00982C1C" w:rsidRPr="00982C1C">
        <w:t>In Africa</w:t>
      </w:r>
      <w:r w:rsidR="00F17654">
        <w:t xml:space="preserve"> South of the Sahara</w:t>
      </w:r>
      <w:r w:rsidR="00982C1C" w:rsidRPr="00982C1C">
        <w:t>, 28 perc</w:t>
      </w:r>
      <w:r w:rsidR="00982C1C">
        <w:t>ent of children are underweight.</w:t>
      </w:r>
      <w:r>
        <w:t xml:space="preserve"> </w:t>
      </w:r>
      <w:r w:rsidR="000672F0">
        <w:t>T</w:t>
      </w:r>
      <w:r w:rsidR="00982C1C">
        <w:t xml:space="preserve">he data for stunting is not adequately collected and stored in a number of African countries, and thus the cited figures </w:t>
      </w:r>
      <w:r w:rsidR="000672F0">
        <w:t xml:space="preserve">may be </w:t>
      </w:r>
      <w:r w:rsidR="00982C1C">
        <w:t>gross estimates.</w:t>
      </w:r>
    </w:p>
    <w:p w:rsidR="00AC2CE8" w:rsidRDefault="00AC2CE8" w:rsidP="007312F7">
      <w:pPr>
        <w:jc w:val="both"/>
      </w:pPr>
    </w:p>
    <w:p w:rsidR="00AC2CE8" w:rsidRDefault="00E86BD8" w:rsidP="007312F7">
      <w:pPr>
        <w:jc w:val="both"/>
      </w:pPr>
      <w:r>
        <w:t>Undernutrition</w:t>
      </w:r>
      <w:r w:rsidR="009A64E0">
        <w:t xml:space="preserve"> </w:t>
      </w:r>
      <w:r w:rsidR="00B2555D">
        <w:t xml:space="preserve">significantly </w:t>
      </w:r>
      <w:r w:rsidR="006734B6">
        <w:t xml:space="preserve">affects child health </w:t>
      </w:r>
      <w:r w:rsidR="00B2555D">
        <w:t>and development</w:t>
      </w:r>
      <w:r w:rsidR="006734B6">
        <w:t xml:space="preserve">. By depressing the natural immunity in children, they are more vulnerable to repeated bouts of infectious diseases, which then </w:t>
      </w:r>
      <w:r w:rsidR="00B2555D">
        <w:t>increases</w:t>
      </w:r>
      <w:r w:rsidR="006734B6">
        <w:t xml:space="preserve"> the need for </w:t>
      </w:r>
      <w:r w:rsidR="00051BF1">
        <w:t>higher</w:t>
      </w:r>
      <w:r w:rsidR="006734B6">
        <w:t xml:space="preserve"> calorie and micro nutrient intake. In the face of already reduced intake, a vicious cycle is maintained of poor nutrition and repeated bouts of infections, and thus ill health and deleterious effects on physical and mental development.</w:t>
      </w:r>
    </w:p>
    <w:p w:rsidR="00AC2CE8" w:rsidRDefault="00AC2CE8" w:rsidP="007312F7">
      <w:pPr>
        <w:jc w:val="both"/>
      </w:pPr>
    </w:p>
    <w:p w:rsidR="004E6653" w:rsidRDefault="00AC2CE8" w:rsidP="007312F7">
      <w:pPr>
        <w:jc w:val="both"/>
      </w:pPr>
      <w:r>
        <w:t>Nutrition is inextricably linked to poverty, edu</w:t>
      </w:r>
      <w:r w:rsidR="00AD7C6C">
        <w:t xml:space="preserve">cation and gender relations. The centrality of nutrition is also espoused in MDG 1. Nutrition is a </w:t>
      </w:r>
      <w:r w:rsidR="00E86BD8">
        <w:t>multi-faceted</w:t>
      </w:r>
      <w:r w:rsidR="00AD7C6C">
        <w:t xml:space="preserve"> issue that requires interventions from across different disciplines including agriculture, education,</w:t>
      </w:r>
      <w:r w:rsidR="00982C1C">
        <w:t xml:space="preserve"> health, economics and cultural </w:t>
      </w:r>
      <w:r w:rsidR="004E6653">
        <w:t xml:space="preserve">affairs. Food and nutrition </w:t>
      </w:r>
      <w:r w:rsidR="00256691">
        <w:t xml:space="preserve">security </w:t>
      </w:r>
      <w:r w:rsidR="004E6653">
        <w:t xml:space="preserve">is also closely linked to political stability. Countries in constant political turmoil and upheaval, or facing natural disasters are increasingly incapable of </w:t>
      </w:r>
      <w:r w:rsidR="00256691">
        <w:t xml:space="preserve">ensuring </w:t>
      </w:r>
      <w:r w:rsidR="004E6653">
        <w:t xml:space="preserve">food </w:t>
      </w:r>
      <w:r w:rsidR="00256691">
        <w:t xml:space="preserve">and nutrition </w:t>
      </w:r>
      <w:r w:rsidR="004E6653">
        <w:t>security</w:t>
      </w:r>
      <w:r w:rsidR="00B2555D">
        <w:t>. This instability leads to a</w:t>
      </w:r>
      <w:r w:rsidR="00727355">
        <w:t xml:space="preserve"> sharp deterioration in the nutritional status of children and women</w:t>
      </w:r>
      <w:r w:rsidR="00B2555D">
        <w:t xml:space="preserve"> and</w:t>
      </w:r>
      <w:r w:rsidR="00727355">
        <w:t xml:space="preserve"> thus the potential to reverse any gains made in child and maternal health.</w:t>
      </w:r>
    </w:p>
    <w:p w:rsidR="004E6653" w:rsidRDefault="004E6653" w:rsidP="007312F7">
      <w:pPr>
        <w:jc w:val="both"/>
      </w:pPr>
    </w:p>
    <w:p w:rsidR="00E1041D" w:rsidRDefault="004E6653" w:rsidP="007312F7">
      <w:pPr>
        <w:jc w:val="both"/>
      </w:pPr>
      <w:r>
        <w:t>Given the immense</w:t>
      </w:r>
      <w:r w:rsidR="00727355">
        <w:t xml:space="preserve"> importance of nutrition to child health, increased focus on nutrition, particularly for children below the age of three, and pregnant women is </w:t>
      </w:r>
      <w:r w:rsidR="00256691">
        <w:lastRenderedPageBreak/>
        <w:t>essential</w:t>
      </w:r>
      <w:r w:rsidR="00727355">
        <w:t>. Deliberate national and subnational p</w:t>
      </w:r>
      <w:r w:rsidR="00E1041D">
        <w:t>olicies</w:t>
      </w:r>
      <w:r w:rsidR="00051BF1">
        <w:t xml:space="preserve"> and actions that address under</w:t>
      </w:r>
      <w:r w:rsidR="00E1041D">
        <w:t>nut</w:t>
      </w:r>
      <w:r w:rsidR="00051BF1">
        <w:t>rition should be enacted</w:t>
      </w:r>
      <w:r w:rsidR="00256691">
        <w:t xml:space="preserve"> and implemented</w:t>
      </w:r>
      <w:r w:rsidR="00051BF1">
        <w:t>. Under</w:t>
      </w:r>
      <w:r w:rsidR="00E1041D">
        <w:t>nutrition</w:t>
      </w:r>
      <w:r w:rsidR="009A64E0">
        <w:t xml:space="preserve"> </w:t>
      </w:r>
      <w:r w:rsidR="00E1041D">
        <w:t xml:space="preserve">should be tackled with increased urgency, vigour and resources if gains are to be made </w:t>
      </w:r>
      <w:r w:rsidR="00B2555D">
        <w:t>to reduce</w:t>
      </w:r>
      <w:r w:rsidR="00E1041D">
        <w:t xml:space="preserve"> child mortality.</w:t>
      </w:r>
    </w:p>
    <w:p w:rsidR="00E1041D" w:rsidRDefault="00E1041D" w:rsidP="007312F7">
      <w:pPr>
        <w:jc w:val="both"/>
      </w:pPr>
    </w:p>
    <w:p w:rsidR="00E1041D" w:rsidRDefault="00E1041D" w:rsidP="007312F7">
      <w:pPr>
        <w:pStyle w:val="Heading2"/>
        <w:jc w:val="both"/>
      </w:pPr>
      <w:bookmarkStart w:id="18" w:name="_TOC31209"/>
      <w:bookmarkStart w:id="19" w:name="_Toc411525476"/>
      <w:bookmarkEnd w:id="18"/>
      <w:r>
        <w:t>Immunisation</w:t>
      </w:r>
      <w:bookmarkEnd w:id="19"/>
    </w:p>
    <w:p w:rsidR="00E1041D" w:rsidRDefault="00E1041D" w:rsidP="007312F7">
      <w:pPr>
        <w:jc w:val="both"/>
      </w:pPr>
      <w:r>
        <w:t>Immunisation has been one of the most successful interventions</w:t>
      </w:r>
      <w:r w:rsidR="008C5C84">
        <w:t xml:space="preserve"> in global public health, </w:t>
      </w:r>
      <w:r w:rsidR="006F25F1">
        <w:t xml:space="preserve">estimated to avert between 2 – 3 million deaths </w:t>
      </w:r>
      <w:r w:rsidR="00DC3D6D">
        <w:t xml:space="preserve">worldwide </w:t>
      </w:r>
      <w:r w:rsidR="006F25F1">
        <w:t>every year</w:t>
      </w:r>
      <w:r w:rsidR="00DC3D6D">
        <w:t xml:space="preserve">. The success of </w:t>
      </w:r>
      <w:r w:rsidR="0005182D">
        <w:t>large-scale</w:t>
      </w:r>
      <w:r w:rsidR="00DC3D6D">
        <w:t xml:space="preserve"> immunisation programmes have been primarily driven by the wide acceptance, political will and perceived efficacy of the intervention. Immunisation programmes average at about 80% coverage </w:t>
      </w:r>
      <w:r w:rsidR="00B2555D">
        <w:t>globally</w:t>
      </w:r>
      <w:r w:rsidR="00B2555D">
        <w:rPr>
          <w:vertAlign w:val="superscript"/>
        </w:rPr>
        <w:t>6</w:t>
      </w:r>
      <w:r w:rsidR="00B2555D">
        <w:t>.</w:t>
      </w:r>
      <w:r w:rsidR="00DC3D6D">
        <w:t xml:space="preserve"> </w:t>
      </w:r>
      <w:r w:rsidR="00F667A8" w:rsidRPr="00F667A8">
        <w:t xml:space="preserve">The impact of vaccines </w:t>
      </w:r>
      <w:r w:rsidR="00F667A8">
        <w:t xml:space="preserve">are widespread and </w:t>
      </w:r>
      <w:r w:rsidR="00F667A8" w:rsidRPr="00F667A8">
        <w:t xml:space="preserve">beyond the immunised child. Vaccines </w:t>
      </w:r>
      <w:r w:rsidR="00F667A8">
        <w:t xml:space="preserve">contribute to the </w:t>
      </w:r>
      <w:r w:rsidR="00F667A8" w:rsidRPr="00F667A8">
        <w:t>reduc</w:t>
      </w:r>
      <w:r w:rsidR="00F667A8">
        <w:t xml:space="preserve">tion of some infectious </w:t>
      </w:r>
      <w:r w:rsidR="00F667A8" w:rsidRPr="00F667A8">
        <w:t>disease</w:t>
      </w:r>
      <w:r w:rsidR="00F667A8">
        <w:t>s</w:t>
      </w:r>
      <w:r w:rsidR="00F667A8" w:rsidRPr="00F667A8">
        <w:t xml:space="preserve"> in </w:t>
      </w:r>
      <w:r w:rsidR="00F667A8">
        <w:t>the community</w:t>
      </w:r>
      <w:r w:rsidR="00F667A8" w:rsidRPr="00F667A8">
        <w:t xml:space="preserve">, </w:t>
      </w:r>
      <w:r w:rsidR="00F667A8">
        <w:t xml:space="preserve">reduce </w:t>
      </w:r>
      <w:r w:rsidR="00F667A8" w:rsidRPr="00F667A8">
        <w:t xml:space="preserve">healthcare </w:t>
      </w:r>
      <w:r w:rsidR="00F667A8">
        <w:t>expenditure for households</w:t>
      </w:r>
      <w:r w:rsidR="00F667A8" w:rsidRPr="00F667A8">
        <w:t xml:space="preserve">, </w:t>
      </w:r>
      <w:r w:rsidR="00F667A8">
        <w:t>a</w:t>
      </w:r>
      <w:r w:rsidR="00F667A8" w:rsidRPr="00F667A8">
        <w:t>nd give children a better chance of a healthy, productive adulthood.</w:t>
      </w:r>
      <w:r w:rsidR="00F667A8">
        <w:t xml:space="preserve"> The average cost </w:t>
      </w:r>
      <w:r w:rsidR="002B40BB">
        <w:t xml:space="preserve">of vaccines </w:t>
      </w:r>
      <w:r w:rsidR="00F667A8">
        <w:t xml:space="preserve">to fully immunise a child against </w:t>
      </w:r>
      <w:r w:rsidR="002B40BB">
        <w:t>some of the</w:t>
      </w:r>
      <w:r w:rsidR="00F667A8">
        <w:t xml:space="preserve"> mos</w:t>
      </w:r>
      <w:r w:rsidR="002B40BB">
        <w:t>t prevalent diseases</w:t>
      </w:r>
      <w:r w:rsidR="00F667A8">
        <w:t xml:space="preserve"> is about US$22</w:t>
      </w:r>
      <w:r w:rsidR="002B40BB">
        <w:t>; thus immunisation offers a cost effective way of ensuring child survival.</w:t>
      </w:r>
    </w:p>
    <w:p w:rsidR="002B40BB" w:rsidRDefault="002B40BB" w:rsidP="007312F7">
      <w:pPr>
        <w:jc w:val="both"/>
      </w:pPr>
    </w:p>
    <w:p w:rsidR="00506E60" w:rsidRDefault="002B40BB" w:rsidP="007312F7">
      <w:pPr>
        <w:jc w:val="both"/>
      </w:pPr>
      <w:r>
        <w:t xml:space="preserve">Africa has made several gains in the increasing immunisation coverage, but also eliminating some diseases through </w:t>
      </w:r>
      <w:r w:rsidR="00E86BD8">
        <w:t>wide scale</w:t>
      </w:r>
      <w:r>
        <w:t xml:space="preserve"> immunisation programmes. Over the past few decades, immunisations have eradicated smallpox, lowered the global incidence of polio by 99 percent, and dramatically reduced illness, disability, and death from diseases such as diphtheria, tetanus, whooping cough, pneumonia, meningitis, diarrhoea, and measles. </w:t>
      </w:r>
      <w:r w:rsidR="00E30E9D">
        <w:t xml:space="preserve">Several countries in Africa have been early adopters of new vaccination commodities including the rotavirus vaccine, that can confer some level of immunity against the leading cause of childhood diarrhoea; pneumococcal vaccine, that can confer some immunity against </w:t>
      </w:r>
      <w:r w:rsidR="00E30E9D" w:rsidRPr="00EC711F">
        <w:rPr>
          <w:i/>
        </w:rPr>
        <w:t xml:space="preserve">Streptococcus Pneumoniae, </w:t>
      </w:r>
      <w:r w:rsidR="00E30E9D">
        <w:t xml:space="preserve">one of the most common bacterial cause of pneumonia; </w:t>
      </w:r>
      <w:r w:rsidR="00E30E9D" w:rsidRPr="00EC711F">
        <w:rPr>
          <w:i/>
        </w:rPr>
        <w:t>Haemophilus</w:t>
      </w:r>
      <w:r w:rsidR="008C5C84" w:rsidRPr="00EC711F">
        <w:rPr>
          <w:i/>
        </w:rPr>
        <w:t xml:space="preserve"> </w:t>
      </w:r>
      <w:r w:rsidR="00E30E9D" w:rsidRPr="00EC711F">
        <w:rPr>
          <w:i/>
        </w:rPr>
        <w:t>Influenzae</w:t>
      </w:r>
      <w:r w:rsidR="008C5C84" w:rsidRPr="00EC711F">
        <w:rPr>
          <w:i/>
        </w:rPr>
        <w:t xml:space="preserve"> </w:t>
      </w:r>
      <w:r w:rsidR="00E30E9D">
        <w:t>vaccine which protects against the most common cause of pneumonia in neonates; neonatal Hepatitis B vaccination which provides lifelong protection against Hepatitis B infection.</w:t>
      </w:r>
      <w:r w:rsidR="008C5C84">
        <w:t xml:space="preserve"> </w:t>
      </w:r>
      <w:r w:rsidR="00506E60">
        <w:t>All these vaccines have proven public health benefits, and are available in public vaccination programmes in the vast majority of African countries; due to sustained political will, international support and innovative public private partnerships.</w:t>
      </w:r>
    </w:p>
    <w:p w:rsidR="00506E60" w:rsidRDefault="00506E60" w:rsidP="007312F7">
      <w:pPr>
        <w:jc w:val="both"/>
      </w:pPr>
    </w:p>
    <w:p w:rsidR="00506E60" w:rsidRDefault="00506E60" w:rsidP="007312F7">
      <w:pPr>
        <w:jc w:val="both"/>
      </w:pPr>
      <w:r>
        <w:t xml:space="preserve">The use of </w:t>
      </w:r>
      <w:r w:rsidR="00804CFD">
        <w:t>Diptheria</w:t>
      </w:r>
      <w:r w:rsidR="008C5C84">
        <w:t xml:space="preserve"> </w:t>
      </w:r>
      <w:r w:rsidR="00804CFD">
        <w:t>Pertusis Tetanus Vaccine (</w:t>
      </w:r>
      <w:r>
        <w:t>DPT</w:t>
      </w:r>
      <w:r w:rsidR="00804CFD">
        <w:t xml:space="preserve">) </w:t>
      </w:r>
      <w:r>
        <w:t xml:space="preserve">has long been used as the key indicator in assessing the vaccine coverage and effectiveness of </w:t>
      </w:r>
      <w:r w:rsidR="00804CFD">
        <w:t>i</w:t>
      </w:r>
      <w:r>
        <w:t xml:space="preserve">mmunisation programmes. A </w:t>
      </w:r>
      <w:r w:rsidR="007E15EE">
        <w:t>well-functioning</w:t>
      </w:r>
      <w:r>
        <w:t xml:space="preserve"> vaccination programme is often seen as proxy to the effectiveness of child health delivery in countries. </w:t>
      </w:r>
      <w:r w:rsidR="00804CFD">
        <w:t>T</w:t>
      </w:r>
      <w:r>
        <w:t xml:space="preserve">he continental average for DPT 3 coverage </w:t>
      </w:r>
      <w:r w:rsidR="00804CFD">
        <w:t xml:space="preserve">in 2013 </w:t>
      </w:r>
      <w:r>
        <w:t xml:space="preserve">is </w:t>
      </w:r>
      <w:r w:rsidR="00882FC3">
        <w:t>80.6</w:t>
      </w:r>
      <w:r>
        <w:t>%</w:t>
      </w:r>
      <w:r w:rsidR="00671948">
        <w:t xml:space="preserve">. Table below shows the percentage of children vaccinated with DPT </w:t>
      </w:r>
      <w:r w:rsidR="00943DB0">
        <w:t>in Africa</w:t>
      </w:r>
    </w:p>
    <w:p w:rsidR="00943DB0" w:rsidRDefault="00943DB0" w:rsidP="007312F7">
      <w:pPr>
        <w:jc w:val="both"/>
      </w:pPr>
    </w:p>
    <w:p w:rsidR="00943DB0" w:rsidRDefault="00943DB0" w:rsidP="007312F7">
      <w:pPr>
        <w:pStyle w:val="Caption"/>
        <w:keepNext/>
        <w:jc w:val="both"/>
      </w:pPr>
      <w:bookmarkStart w:id="20" w:name="_Toc411525270"/>
      <w:r>
        <w:t xml:space="preserve">Table </w:t>
      </w:r>
      <w:fldSimple w:instr=" SEQ Table \* ARABIC ">
        <w:r>
          <w:rPr>
            <w:noProof/>
          </w:rPr>
          <w:t>3</w:t>
        </w:r>
      </w:fldSimple>
      <w:r>
        <w:t>: Percentage of Children vaccinated with DPT</w:t>
      </w:r>
      <w:bookmarkEnd w:id="20"/>
    </w:p>
    <w:tbl>
      <w:tblPr>
        <w:tblW w:w="6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706"/>
        <w:gridCol w:w="976"/>
        <w:gridCol w:w="976"/>
        <w:gridCol w:w="976"/>
        <w:gridCol w:w="1330"/>
      </w:tblGrid>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1990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2010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2011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2012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2013</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Algeria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95%</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Angola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Benin</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Botswana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Burkina Faso</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Burundi</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Cameroon</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Cape Verde</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Central African Rep</w:t>
            </w:r>
            <w:r>
              <w:rPr>
                <w:rFonts w:ascii="Arial" w:eastAsia="Times New Roman" w:hAnsi="Arial" w:cs="Arial"/>
                <w:color w:val="000000"/>
                <w:lang w:eastAsia="en-GB"/>
              </w:rPr>
              <w:t>ublic</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23%</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lastRenderedPageBreak/>
              <w:t>Chad</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39%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33%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Comoros</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83%</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Congo</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Djibouti</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Pr>
                <w:rFonts w:ascii="Arial" w:eastAsia="Times New Roman" w:hAnsi="Arial" w:cs="Arial"/>
                <w:color w:val="000000"/>
                <w:lang w:eastAsia="en-GB"/>
              </w:rPr>
              <w:t>Democratic Republic of Congo</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35%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72%</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Egypt</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Equatorial Guinea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33%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30%</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 xml:space="preserve">Eritrea </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94%</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Ethiopia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72%</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Gabon</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Gambia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Ghana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17%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90%</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Guinea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17%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63%</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Guinea-Bissau</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80%</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Ivory Coast</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54%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Kenya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76%</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Lesotho</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Liberia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Libya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Madagascar</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Malawi</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Mali</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Mauritania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33%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80%</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Mauritius</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Mozambique</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Namibia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Niger</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70%</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Nigeria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56%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54%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30%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26%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58%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Rwanda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w:t>
            </w:r>
            <w:r>
              <w:rPr>
                <w:rFonts w:ascii="Arial" w:eastAsia="Times New Roman" w:hAnsi="Arial" w:cs="Arial"/>
                <w:color w:val="000000"/>
                <w:lang w:eastAsia="en-GB"/>
              </w:rPr>
              <w:t xml:space="preserve">ahrawi </w:t>
            </w:r>
            <w:r w:rsidRPr="00943DB0">
              <w:rPr>
                <w:rFonts w:ascii="Arial" w:eastAsia="Times New Roman" w:hAnsi="Arial" w:cs="Arial"/>
                <w:color w:val="000000"/>
                <w:lang w:eastAsia="en-GB"/>
              </w:rPr>
              <w:t>A</w:t>
            </w:r>
            <w:r>
              <w:rPr>
                <w:rFonts w:ascii="Arial" w:eastAsia="Times New Roman" w:hAnsi="Arial" w:cs="Arial"/>
                <w:color w:val="000000"/>
                <w:lang w:eastAsia="en-GB"/>
              </w:rPr>
              <w:t xml:space="preserve">rab </w:t>
            </w:r>
            <w:r w:rsidRPr="00943DB0">
              <w:rPr>
                <w:rFonts w:ascii="Arial" w:eastAsia="Times New Roman" w:hAnsi="Arial" w:cs="Arial"/>
                <w:color w:val="000000"/>
                <w:lang w:eastAsia="en-GB"/>
              </w:rPr>
              <w:t>D</w:t>
            </w:r>
            <w:r>
              <w:rPr>
                <w:rFonts w:ascii="Arial" w:eastAsia="Times New Roman" w:hAnsi="Arial" w:cs="Arial"/>
                <w:color w:val="000000"/>
                <w:lang w:eastAsia="en-GB"/>
              </w:rPr>
              <w:t xml:space="preserve">emocratic </w:t>
            </w:r>
            <w:r w:rsidRPr="00943DB0">
              <w:rPr>
                <w:rFonts w:ascii="Arial" w:eastAsia="Times New Roman" w:hAnsi="Arial" w:cs="Arial"/>
                <w:color w:val="000000"/>
                <w:lang w:eastAsia="en-GB"/>
              </w:rPr>
              <w:t>R</w:t>
            </w:r>
            <w:r>
              <w:rPr>
                <w:rFonts w:ascii="Arial" w:eastAsia="Times New Roman" w:hAnsi="Arial" w:cs="Arial"/>
                <w:color w:val="000000"/>
                <w:lang w:eastAsia="en-GB"/>
              </w:rPr>
              <w:t>epublic</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50B0" w:rsidP="007312F7">
            <w:pPr>
              <w:jc w:val="both"/>
              <w:rPr>
                <w:rFonts w:ascii="Arial" w:eastAsia="Times New Roman" w:hAnsi="Arial" w:cs="Arial"/>
                <w:lang w:eastAsia="en-GB"/>
              </w:rPr>
            </w:pPr>
            <w:r>
              <w:rPr>
                <w:rFonts w:ascii="Arial" w:eastAsia="Times New Roman" w:hAnsi="Arial" w:cs="Arial"/>
                <w:lang w:eastAsia="en-GB"/>
              </w:rPr>
              <w:t>Data unavailable</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Sao Tome and Principe</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Senegal</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51%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Seychelles</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Sierra Leone</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Somalia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19%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42%</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South Africa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66%</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65%</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South Sudan</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59%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45%</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Sudan</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62%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Swaziland</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Tanzania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Togo</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84%</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Tunisia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97%</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Uganda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45%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80%</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82%</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78%</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Zambia</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81%</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79%</w:t>
            </w:r>
          </w:p>
        </w:tc>
      </w:tr>
      <w:tr w:rsidR="00943DB0" w:rsidRPr="00943DB0" w:rsidTr="009450B0">
        <w:trPr>
          <w:trHeight w:val="285"/>
        </w:trPr>
        <w:tc>
          <w:tcPr>
            <w:tcW w:w="2058" w:type="dxa"/>
            <w:shd w:val="clear" w:color="auto" w:fill="auto"/>
            <w:noWrap/>
            <w:vAlign w:val="bottom"/>
            <w:hideMark/>
          </w:tcPr>
          <w:p w:rsidR="00943DB0" w:rsidRPr="00943DB0" w:rsidRDefault="00943DB0" w:rsidP="007312F7">
            <w:pPr>
              <w:jc w:val="both"/>
              <w:rPr>
                <w:rFonts w:ascii="Arial" w:eastAsia="Times New Roman" w:hAnsi="Arial" w:cs="Arial"/>
                <w:color w:val="000000"/>
                <w:lang w:eastAsia="en-GB"/>
              </w:rPr>
            </w:pPr>
            <w:r w:rsidRPr="00943DB0">
              <w:rPr>
                <w:rFonts w:ascii="Arial" w:eastAsia="Times New Roman" w:hAnsi="Arial" w:cs="Arial"/>
                <w:color w:val="000000"/>
                <w:lang w:eastAsia="en-GB"/>
              </w:rPr>
              <w:t>Zimbabwe</w:t>
            </w:r>
          </w:p>
        </w:tc>
        <w:tc>
          <w:tcPr>
            <w:tcW w:w="70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88%</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89%</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93%</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95%</w:t>
            </w:r>
          </w:p>
        </w:tc>
        <w:tc>
          <w:tcPr>
            <w:tcW w:w="976" w:type="dxa"/>
            <w:shd w:val="clear" w:color="auto" w:fill="auto"/>
            <w:noWrap/>
            <w:vAlign w:val="bottom"/>
            <w:hideMark/>
          </w:tcPr>
          <w:p w:rsidR="00943DB0" w:rsidRPr="00943DB0" w:rsidRDefault="00943DB0" w:rsidP="007312F7">
            <w:pPr>
              <w:jc w:val="both"/>
              <w:rPr>
                <w:rFonts w:ascii="Arial" w:eastAsia="Times New Roman" w:hAnsi="Arial" w:cs="Arial"/>
                <w:lang w:eastAsia="en-GB"/>
              </w:rPr>
            </w:pPr>
            <w:r w:rsidRPr="00943DB0">
              <w:rPr>
                <w:rFonts w:ascii="Arial" w:eastAsia="Times New Roman" w:hAnsi="Arial" w:cs="Arial"/>
                <w:lang w:eastAsia="en-GB"/>
              </w:rPr>
              <w:t>95%</w:t>
            </w:r>
          </w:p>
        </w:tc>
      </w:tr>
    </w:tbl>
    <w:p w:rsidR="00943DB0" w:rsidRDefault="00943DB0" w:rsidP="007312F7">
      <w:pPr>
        <w:jc w:val="both"/>
      </w:pPr>
    </w:p>
    <w:p w:rsidR="00506E60" w:rsidRDefault="00506E60" w:rsidP="007312F7">
      <w:pPr>
        <w:jc w:val="both"/>
      </w:pPr>
    </w:p>
    <w:p w:rsidR="002B40BB" w:rsidRPr="002B40BB" w:rsidRDefault="00506E60" w:rsidP="007312F7">
      <w:pPr>
        <w:jc w:val="both"/>
      </w:pPr>
      <w:r>
        <w:t>It is imperative that continued focus on immunisation is sustained. Immunisation is the closest</w:t>
      </w:r>
      <w:r w:rsidR="00B2555D">
        <w:t xml:space="preserve"> option</w:t>
      </w:r>
      <w:r>
        <w:t xml:space="preserve"> to </w:t>
      </w:r>
      <w:r w:rsidR="00D2103B">
        <w:t>universal</w:t>
      </w:r>
      <w:r>
        <w:t xml:space="preserve"> coverage </w:t>
      </w:r>
      <w:r w:rsidR="00D2103B">
        <w:t xml:space="preserve">as compared to other health interventions. Integrating immunisation services with other services including reproductive health </w:t>
      </w:r>
      <w:r w:rsidR="00E86BD8">
        <w:t>services</w:t>
      </w:r>
      <w:r w:rsidR="00B2555D">
        <w:t>,</w:t>
      </w:r>
      <w:r w:rsidR="00D2103B">
        <w:t xml:space="preserve"> would provide immediate mutual gains. However, there still needs to be increased commitment to immunisation programmes to ensure that all children that require immunisation have access to life saving immunisations. The returns on investment for expanded immunisation programmes are about 20 times the cost.</w:t>
      </w:r>
    </w:p>
    <w:p w:rsidR="00DD6622" w:rsidRPr="00567BCD" w:rsidRDefault="00DD6622" w:rsidP="007312F7">
      <w:pPr>
        <w:pStyle w:val="Heading2"/>
        <w:jc w:val="both"/>
        <w:rPr>
          <w:sz w:val="20"/>
          <w:szCs w:val="20"/>
        </w:rPr>
      </w:pPr>
      <w:bookmarkStart w:id="21" w:name="_TOC34213"/>
      <w:bookmarkEnd w:id="21"/>
      <w:r w:rsidRPr="00567BCD">
        <w:rPr>
          <w:sz w:val="20"/>
          <w:szCs w:val="20"/>
        </w:rPr>
        <w:br w:type="page"/>
      </w:r>
    </w:p>
    <w:p w:rsidR="00DD6622" w:rsidRDefault="00DD6622" w:rsidP="007312F7">
      <w:pPr>
        <w:pStyle w:val="Heading1"/>
        <w:jc w:val="both"/>
      </w:pPr>
      <w:bookmarkStart w:id="22" w:name="_TOC40136"/>
      <w:bookmarkStart w:id="23" w:name="_Toc411525477"/>
      <w:bookmarkEnd w:id="22"/>
      <w:r>
        <w:lastRenderedPageBreak/>
        <w:t>Maternal Health</w:t>
      </w:r>
      <w:bookmarkEnd w:id="23"/>
    </w:p>
    <w:p w:rsidR="00A27B67" w:rsidRDefault="00FC589A" w:rsidP="007312F7">
      <w:pPr>
        <w:jc w:val="both"/>
      </w:pPr>
      <w:r>
        <w:rPr>
          <w:i/>
          <w:noProof/>
          <w:lang w:val="en-US"/>
        </w:rPr>
        <mc:AlternateContent>
          <mc:Choice Requires="wps">
            <w:drawing>
              <wp:anchor distT="91440" distB="91440" distL="114300" distR="114300" simplePos="0" relativeHeight="251661312" behindDoc="0" locked="0" layoutInCell="0" allowOverlap="1" wp14:anchorId="261A62A2" wp14:editId="5D46B54B">
                <wp:simplePos x="0" y="0"/>
                <wp:positionH relativeFrom="page">
                  <wp:align>left</wp:align>
                </wp:positionH>
                <wp:positionV relativeFrom="margin">
                  <wp:align>center</wp:align>
                </wp:positionV>
                <wp:extent cx="2616200" cy="9801860"/>
                <wp:effectExtent l="38100" t="38100" r="97155" b="96520"/>
                <wp:wrapSquare wrapText="bothSides"/>
                <wp:docPr id="13"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16200" cy="9801860"/>
                        </a:xfrm>
                        <a:prstGeom prst="rect">
                          <a:avLst/>
                        </a:prstGeom>
                        <a:solidFill>
                          <a:srgbClr val="4F81BD"/>
                        </a:solidFill>
                        <a:effectLst>
                          <a:outerShdw blurRad="50800" dist="38100" dir="2700000" algn="tl" rotWithShape="0">
                            <a:prstClr val="black">
                              <a:alpha val="40000"/>
                            </a:prst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7312F7" w:rsidRDefault="007312F7" w:rsidP="00FD2887">
                            <w:pPr>
                              <w:rPr>
                                <w:color w:val="FFFFFF" w:themeColor="background1"/>
                                <w:sz w:val="18"/>
                                <w:szCs w:val="18"/>
                              </w:rPr>
                            </w:pPr>
                            <w:r>
                              <w:rPr>
                                <w:color w:val="FFFFFF" w:themeColor="background1"/>
                                <w:sz w:val="18"/>
                                <w:szCs w:val="18"/>
                              </w:rPr>
                              <w:t>Summary of status</w:t>
                            </w:r>
                          </w:p>
                          <w:p w:rsidR="007312F7" w:rsidRDefault="007312F7" w:rsidP="00FD2887">
                            <w:pPr>
                              <w:pStyle w:val="ListParagraph"/>
                              <w:numPr>
                                <w:ilvl w:val="0"/>
                                <w:numId w:val="10"/>
                              </w:numPr>
                              <w:rPr>
                                <w:color w:val="FFFFFF" w:themeColor="background1"/>
                                <w:sz w:val="18"/>
                                <w:szCs w:val="18"/>
                              </w:rPr>
                            </w:pPr>
                            <w:r w:rsidRPr="00FD2887">
                              <w:rPr>
                                <w:color w:val="FFFFFF" w:themeColor="background1"/>
                                <w:sz w:val="18"/>
                                <w:szCs w:val="18"/>
                              </w:rPr>
                              <w:t>Some progress has been made</w:t>
                            </w:r>
                            <w:r>
                              <w:rPr>
                                <w:color w:val="FFFFFF" w:themeColor="background1"/>
                                <w:sz w:val="18"/>
                                <w:szCs w:val="18"/>
                              </w:rPr>
                              <w:t xml:space="preserve"> to reduce maternal mortality</w:t>
                            </w:r>
                            <w:r w:rsidRPr="00FD2887">
                              <w:rPr>
                                <w:color w:val="FFFFFF" w:themeColor="background1"/>
                                <w:sz w:val="18"/>
                                <w:szCs w:val="18"/>
                              </w:rPr>
                              <w:t>, but still lagging far behind</w:t>
                            </w:r>
                          </w:p>
                          <w:p w:rsidR="007312F7" w:rsidRPr="00FD2887" w:rsidRDefault="007312F7" w:rsidP="00FD2887">
                            <w:pPr>
                              <w:pStyle w:val="ListParagraph"/>
                              <w:numPr>
                                <w:ilvl w:val="0"/>
                                <w:numId w:val="10"/>
                              </w:numPr>
                              <w:rPr>
                                <w:color w:val="FFFFFF" w:themeColor="background1"/>
                                <w:sz w:val="18"/>
                                <w:szCs w:val="18"/>
                              </w:rPr>
                            </w:pPr>
                            <w:r w:rsidRPr="00FD2887">
                              <w:rPr>
                                <w:color w:val="FFFFFF" w:themeColor="background1"/>
                                <w:sz w:val="18"/>
                                <w:szCs w:val="18"/>
                              </w:rPr>
                              <w:t>Maternal mortality has been nearly halved from levels seen in 1990s</w:t>
                            </w:r>
                          </w:p>
                          <w:p w:rsidR="007312F7" w:rsidRPr="00FD2887" w:rsidRDefault="007312F7" w:rsidP="00FD2887">
                            <w:pPr>
                              <w:pStyle w:val="ListParagraph"/>
                              <w:numPr>
                                <w:ilvl w:val="0"/>
                                <w:numId w:val="10"/>
                              </w:numPr>
                              <w:rPr>
                                <w:color w:val="FFFFFF" w:themeColor="background1"/>
                                <w:sz w:val="18"/>
                                <w:szCs w:val="18"/>
                              </w:rPr>
                            </w:pPr>
                            <w:r>
                              <w:rPr>
                                <w:color w:val="FFFFFF" w:themeColor="background1"/>
                                <w:sz w:val="18"/>
                                <w:szCs w:val="18"/>
                              </w:rPr>
                              <w:t>The a</w:t>
                            </w:r>
                            <w:r w:rsidRPr="00FD2887">
                              <w:rPr>
                                <w:color w:val="FFFFFF" w:themeColor="background1"/>
                                <w:sz w:val="18"/>
                                <w:szCs w:val="18"/>
                              </w:rPr>
                              <w:t>verage maternal mortality</w:t>
                            </w:r>
                            <w:r>
                              <w:rPr>
                                <w:color w:val="FFFFFF" w:themeColor="background1"/>
                                <w:sz w:val="18"/>
                                <w:szCs w:val="18"/>
                              </w:rPr>
                              <w:t xml:space="preserve"> ratio</w:t>
                            </w:r>
                            <w:r w:rsidRPr="00FD2887">
                              <w:rPr>
                                <w:color w:val="FFFFFF" w:themeColor="background1"/>
                                <w:sz w:val="18"/>
                                <w:szCs w:val="18"/>
                              </w:rPr>
                              <w:t xml:space="preserve"> in Africa has reduced from 990</w:t>
                            </w:r>
                            <w:r>
                              <w:rPr>
                                <w:color w:val="FFFFFF" w:themeColor="background1"/>
                                <w:sz w:val="18"/>
                                <w:szCs w:val="18"/>
                              </w:rPr>
                              <w:t xml:space="preserve"> per 100,000 women</w:t>
                            </w:r>
                            <w:r w:rsidRPr="00FD2887">
                              <w:rPr>
                                <w:color w:val="FFFFFF" w:themeColor="background1"/>
                                <w:sz w:val="18"/>
                                <w:szCs w:val="18"/>
                              </w:rPr>
                              <w:t xml:space="preserve"> in 1990 to 510</w:t>
                            </w:r>
                            <w:r>
                              <w:rPr>
                                <w:color w:val="FFFFFF" w:themeColor="background1"/>
                                <w:sz w:val="18"/>
                                <w:szCs w:val="18"/>
                              </w:rPr>
                              <w:t xml:space="preserve"> per 100,000 women</w:t>
                            </w:r>
                            <w:r w:rsidRPr="00FD2887">
                              <w:rPr>
                                <w:color w:val="FFFFFF" w:themeColor="background1"/>
                                <w:sz w:val="18"/>
                                <w:szCs w:val="18"/>
                              </w:rPr>
                              <w:t xml:space="preserve"> in 2013, but still below the MDG target of 330</w:t>
                            </w:r>
                            <w:r>
                              <w:rPr>
                                <w:color w:val="FFFFFF" w:themeColor="background1"/>
                                <w:sz w:val="18"/>
                                <w:szCs w:val="18"/>
                              </w:rPr>
                              <w:t xml:space="preserve"> per 100,000 women</w:t>
                            </w:r>
                          </w:p>
                          <w:p w:rsidR="007312F7" w:rsidRPr="003C2FF7" w:rsidRDefault="007312F7" w:rsidP="003C2FF7">
                            <w:pPr>
                              <w:pStyle w:val="ListParagraph"/>
                              <w:numPr>
                                <w:ilvl w:val="0"/>
                                <w:numId w:val="10"/>
                              </w:numPr>
                              <w:rPr>
                                <w:color w:val="FFFFFF" w:themeColor="background1"/>
                                <w:sz w:val="18"/>
                                <w:szCs w:val="18"/>
                              </w:rPr>
                            </w:pPr>
                            <w:r w:rsidRPr="003C2FF7">
                              <w:rPr>
                                <w:color w:val="FFFFFF" w:themeColor="background1"/>
                                <w:sz w:val="18"/>
                                <w:szCs w:val="18"/>
                              </w:rPr>
                              <w:t>300,000 women died worldwide due to complications in childbirth in 2013. 56% of global maternal deaths still occur in Africa</w:t>
                            </w:r>
                          </w:p>
                          <w:p w:rsidR="007312F7" w:rsidRDefault="007312F7" w:rsidP="003C2FF7">
                            <w:pPr>
                              <w:pStyle w:val="ListParagraph"/>
                              <w:numPr>
                                <w:ilvl w:val="0"/>
                                <w:numId w:val="10"/>
                              </w:numPr>
                              <w:rPr>
                                <w:color w:val="FFFFFF" w:themeColor="background1"/>
                                <w:sz w:val="18"/>
                                <w:szCs w:val="18"/>
                              </w:rPr>
                            </w:pPr>
                            <w:r>
                              <w:rPr>
                                <w:color w:val="FFFFFF" w:themeColor="background1"/>
                                <w:sz w:val="18"/>
                                <w:szCs w:val="18"/>
                              </w:rPr>
                              <w:t xml:space="preserve">Only </w:t>
                            </w:r>
                            <w:r w:rsidRPr="003C2FF7">
                              <w:rPr>
                                <w:color w:val="FFFFFF" w:themeColor="background1"/>
                                <w:sz w:val="18"/>
                                <w:szCs w:val="18"/>
                              </w:rPr>
                              <w:t>53% of women delivered with the assistance of skilled attendants</w:t>
                            </w:r>
                          </w:p>
                          <w:p w:rsidR="007312F7" w:rsidRDefault="007312F7" w:rsidP="003C2FF7">
                            <w:pPr>
                              <w:pStyle w:val="ListParagraph"/>
                              <w:numPr>
                                <w:ilvl w:val="0"/>
                                <w:numId w:val="10"/>
                              </w:numPr>
                              <w:rPr>
                                <w:color w:val="FFFFFF" w:themeColor="background1"/>
                                <w:sz w:val="18"/>
                                <w:szCs w:val="18"/>
                              </w:rPr>
                            </w:pPr>
                            <w:r w:rsidRPr="003C2FF7">
                              <w:rPr>
                                <w:color w:val="FFFFFF" w:themeColor="background1"/>
                                <w:sz w:val="18"/>
                                <w:szCs w:val="18"/>
                              </w:rPr>
                              <w:t>Main causes of maternal de</w:t>
                            </w:r>
                            <w:r>
                              <w:rPr>
                                <w:color w:val="FFFFFF" w:themeColor="background1"/>
                                <w:sz w:val="18"/>
                                <w:szCs w:val="18"/>
                              </w:rPr>
                              <w:t>aths: postpartum haemorrhage (27.1</w:t>
                            </w:r>
                            <w:r w:rsidRPr="003C2FF7">
                              <w:rPr>
                                <w:color w:val="FFFFFF" w:themeColor="background1"/>
                                <w:sz w:val="18"/>
                                <w:szCs w:val="18"/>
                              </w:rPr>
                              <w:t>%), infection, pregnancy related hypertensive disorders</w:t>
                            </w:r>
                            <w:r>
                              <w:rPr>
                                <w:color w:val="FFFFFF" w:themeColor="background1"/>
                                <w:sz w:val="18"/>
                                <w:szCs w:val="18"/>
                              </w:rPr>
                              <w:t xml:space="preserve"> (14%)</w:t>
                            </w:r>
                            <w:r w:rsidRPr="003C2FF7">
                              <w:rPr>
                                <w:color w:val="FFFFFF" w:themeColor="background1"/>
                                <w:sz w:val="18"/>
                                <w:szCs w:val="18"/>
                              </w:rPr>
                              <w:t xml:space="preserve">; </w:t>
                            </w:r>
                            <w:r>
                              <w:rPr>
                                <w:color w:val="FFFFFF" w:themeColor="background1"/>
                                <w:sz w:val="18"/>
                                <w:szCs w:val="18"/>
                              </w:rPr>
                              <w:t xml:space="preserve">Sepsis (10%), </w:t>
                            </w:r>
                            <w:r w:rsidRPr="003C2FF7">
                              <w:rPr>
                                <w:color w:val="FFFFFF" w:themeColor="background1"/>
                                <w:sz w:val="18"/>
                                <w:szCs w:val="18"/>
                              </w:rPr>
                              <w:t>unsafe abortion</w:t>
                            </w:r>
                            <w:r>
                              <w:rPr>
                                <w:color w:val="FFFFFF" w:themeColor="background1"/>
                                <w:sz w:val="18"/>
                                <w:szCs w:val="18"/>
                              </w:rPr>
                              <w:t xml:space="preserve"> (7.9%)</w:t>
                            </w:r>
                            <w:r w:rsidRPr="003C2FF7">
                              <w:rPr>
                                <w:color w:val="FFFFFF" w:themeColor="background1"/>
                                <w:sz w:val="18"/>
                                <w:szCs w:val="18"/>
                              </w:rPr>
                              <w:t>,</w:t>
                            </w:r>
                            <w:r>
                              <w:rPr>
                                <w:color w:val="FFFFFF" w:themeColor="background1"/>
                                <w:sz w:val="18"/>
                                <w:szCs w:val="18"/>
                              </w:rPr>
                              <w:t xml:space="preserve"> embolism (3.2%)</w:t>
                            </w:r>
                            <w:r w:rsidRPr="003C2FF7">
                              <w:rPr>
                                <w:color w:val="FFFFFF" w:themeColor="background1"/>
                                <w:sz w:val="18"/>
                                <w:szCs w:val="18"/>
                              </w:rPr>
                              <w:t xml:space="preserve"> and</w:t>
                            </w:r>
                            <w:r>
                              <w:rPr>
                                <w:color w:val="FFFFFF" w:themeColor="background1"/>
                                <w:sz w:val="18"/>
                                <w:szCs w:val="18"/>
                              </w:rPr>
                              <w:t xml:space="preserve"> other direct causes including </w:t>
                            </w:r>
                            <w:r w:rsidRPr="003C2FF7">
                              <w:rPr>
                                <w:color w:val="FFFFFF" w:themeColor="background1"/>
                                <w:sz w:val="18"/>
                                <w:szCs w:val="18"/>
                              </w:rPr>
                              <w:t>obstructed labour</w:t>
                            </w:r>
                            <w:r>
                              <w:rPr>
                                <w:color w:val="FFFFFF" w:themeColor="background1"/>
                                <w:sz w:val="18"/>
                                <w:szCs w:val="18"/>
                              </w:rPr>
                              <w:t xml:space="preserve"> (9.6%)</w:t>
                            </w:r>
                            <w:r w:rsidRPr="003C2FF7">
                              <w:rPr>
                                <w:color w:val="FFFFFF" w:themeColor="background1"/>
                                <w:sz w:val="18"/>
                                <w:szCs w:val="18"/>
                              </w:rPr>
                              <w:t>.</w:t>
                            </w:r>
                          </w:p>
                          <w:p w:rsidR="007312F7" w:rsidRDefault="007312F7" w:rsidP="003C2FF7">
                            <w:pPr>
                              <w:rPr>
                                <w:color w:val="FFFFFF" w:themeColor="background1"/>
                                <w:sz w:val="18"/>
                                <w:szCs w:val="18"/>
                              </w:rPr>
                            </w:pPr>
                          </w:p>
                          <w:p w:rsidR="007312F7" w:rsidRDefault="007312F7" w:rsidP="003C2FF7">
                            <w:pPr>
                              <w:rPr>
                                <w:color w:val="FFFFFF" w:themeColor="background1"/>
                                <w:sz w:val="18"/>
                                <w:szCs w:val="18"/>
                              </w:rPr>
                            </w:pPr>
                            <w:r>
                              <w:rPr>
                                <w:color w:val="FFFFFF" w:themeColor="background1"/>
                                <w:sz w:val="18"/>
                                <w:szCs w:val="18"/>
                              </w:rPr>
                              <w:t>Policy and Programme Considerations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Continued focus on maternal health in the post 2015 agenda</w:t>
                            </w:r>
                          </w:p>
                          <w:p w:rsidR="007312F7" w:rsidRPr="004D0E80" w:rsidRDefault="007312F7" w:rsidP="004D0E80">
                            <w:pPr>
                              <w:pStyle w:val="ListParagraph"/>
                              <w:numPr>
                                <w:ilvl w:val="0"/>
                                <w:numId w:val="11"/>
                              </w:numPr>
                              <w:rPr>
                                <w:color w:val="FFFFFF" w:themeColor="background1"/>
                                <w:sz w:val="18"/>
                                <w:szCs w:val="18"/>
                              </w:rPr>
                            </w:pPr>
                            <w:r w:rsidRPr="004B67D1">
                              <w:rPr>
                                <w:color w:val="FFFFFF" w:themeColor="background1"/>
                                <w:sz w:val="18"/>
                                <w:szCs w:val="18"/>
                              </w:rPr>
                              <w:t xml:space="preserve">Continued high level advocacy on </w:t>
                            </w:r>
                            <w:r>
                              <w:rPr>
                                <w:color w:val="FFFFFF" w:themeColor="background1"/>
                                <w:sz w:val="18"/>
                                <w:szCs w:val="18"/>
                              </w:rPr>
                              <w:t>maternal health</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Greater focus on human resources for health</w:t>
                            </w:r>
                            <w:r>
                              <w:rPr>
                                <w:color w:val="FFFFFF" w:themeColor="background1"/>
                                <w:sz w:val="18"/>
                                <w:szCs w:val="18"/>
                              </w:rPr>
                              <w:t>, and availability of skilled birth attendants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 xml:space="preserve">Focus on most common causes </w:t>
                            </w:r>
                            <w:r>
                              <w:rPr>
                                <w:color w:val="FFFFFF" w:themeColor="background1"/>
                                <w:sz w:val="18"/>
                                <w:szCs w:val="18"/>
                              </w:rPr>
                              <w:t xml:space="preserve">of maternal death </w:t>
                            </w:r>
                            <w:r w:rsidRPr="004B67D1">
                              <w:rPr>
                                <w:color w:val="FFFFFF" w:themeColor="background1"/>
                                <w:sz w:val="18"/>
                                <w:szCs w:val="18"/>
                              </w:rPr>
                              <w:t>and High impact interventions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General strengthening of health systems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More robust data surveillance, collection, estimates and civil registration</w:t>
                            </w:r>
                          </w:p>
                          <w:p w:rsidR="007312F7" w:rsidRPr="004B67D1"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Waiver of user fees for pregnant women and children</w:t>
                            </w:r>
                            <w:r>
                              <w:rPr>
                                <w:color w:val="FFFFFF" w:themeColor="background1"/>
                                <w:sz w:val="18"/>
                                <w:szCs w:val="18"/>
                              </w:rPr>
                              <w:t xml:space="preserve">. Ensure </w:t>
                            </w:r>
                            <w:r w:rsidRPr="004B67D1">
                              <w:rPr>
                                <w:color w:val="FFFFFF" w:themeColor="background1"/>
                                <w:sz w:val="18"/>
                                <w:szCs w:val="18"/>
                              </w:rPr>
                              <w:t>protected financing for MNCH services</w:t>
                            </w:r>
                          </w:p>
                          <w:p w:rsidR="007312F7" w:rsidRDefault="007312F7" w:rsidP="003C2FF7">
                            <w:pPr>
                              <w:pStyle w:val="ListParagraph"/>
                              <w:ind w:left="360"/>
                              <w:rPr>
                                <w:color w:val="FFFFFF" w:themeColor="background1"/>
                                <w:sz w:val="18"/>
                                <w:szCs w:val="18"/>
                              </w:rPr>
                            </w:pPr>
                          </w:p>
                          <w:p w:rsidR="007312F7" w:rsidRDefault="007312F7" w:rsidP="003C2FF7">
                            <w:pPr>
                              <w:pStyle w:val="ListParagraph"/>
                              <w:ind w:left="360"/>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Pr="00FD2887" w:rsidRDefault="007312F7" w:rsidP="00FD2887">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35000</wp14:pctWidth>
                </wp14:sizeRelH>
                <wp14:sizeRelV relativeFrom="margin">
                  <wp14:pctHeight>100000</wp14:pctHeight>
                </wp14:sizeRelV>
              </wp:anchor>
            </w:drawing>
          </mc:Choice>
          <mc:Fallback>
            <w:pict>
              <v:rect w14:anchorId="261A62A2" id="_x0000_s1027" style="position:absolute;left:0;text-align:left;margin-left:0;margin-top:0;width:206pt;height:771.8pt;flip:x;z-index:251661312;visibility:visible;mso-wrap-style:square;mso-width-percent:350;mso-height-percent:1000;mso-wrap-distance-left:9pt;mso-wrap-distance-top:7.2pt;mso-wrap-distance-right:9pt;mso-wrap-distance-bottom:7.2pt;mso-position-horizontal:left;mso-position-horizontal-relative:page;mso-position-vertical:center;mso-position-vertical-relative:margin;mso-width-percent:35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" o:allowincell="f" fillcolor="#4f81bd" stroked="f" strokeweight="1.5pt">
                <v:shadow on="t" color="black" opacity="26214f" origin="-.5,-.5" offset=".74836mm,.74836mm"/>
                <v:textbox inset="21.6pt,21.6pt,21.6pt,21.6pt">
                  <w:txbxContent>
                    <w:p w:rsidR="007312F7" w:rsidRDefault="007312F7" w:rsidP="00FD2887">
                      <w:pPr>
                        <w:rPr>
                          <w:color w:val="FFFFFF" w:themeColor="background1"/>
                          <w:sz w:val="18"/>
                          <w:szCs w:val="18"/>
                        </w:rPr>
                      </w:pPr>
                      <w:r>
                        <w:rPr>
                          <w:color w:val="FFFFFF" w:themeColor="background1"/>
                          <w:sz w:val="18"/>
                          <w:szCs w:val="18"/>
                        </w:rPr>
                        <w:t>Summary of status</w:t>
                      </w:r>
                    </w:p>
                    <w:p w:rsidR="007312F7" w:rsidRDefault="007312F7" w:rsidP="00FD2887">
                      <w:pPr>
                        <w:pStyle w:val="ListParagraph"/>
                        <w:numPr>
                          <w:ilvl w:val="0"/>
                          <w:numId w:val="10"/>
                        </w:numPr>
                        <w:rPr>
                          <w:color w:val="FFFFFF" w:themeColor="background1"/>
                          <w:sz w:val="18"/>
                          <w:szCs w:val="18"/>
                        </w:rPr>
                      </w:pPr>
                      <w:r w:rsidRPr="00FD2887">
                        <w:rPr>
                          <w:color w:val="FFFFFF" w:themeColor="background1"/>
                          <w:sz w:val="18"/>
                          <w:szCs w:val="18"/>
                        </w:rPr>
                        <w:t>Some progress has been made</w:t>
                      </w:r>
                      <w:r>
                        <w:rPr>
                          <w:color w:val="FFFFFF" w:themeColor="background1"/>
                          <w:sz w:val="18"/>
                          <w:szCs w:val="18"/>
                        </w:rPr>
                        <w:t xml:space="preserve"> to reduce maternal mortality</w:t>
                      </w:r>
                      <w:r w:rsidRPr="00FD2887">
                        <w:rPr>
                          <w:color w:val="FFFFFF" w:themeColor="background1"/>
                          <w:sz w:val="18"/>
                          <w:szCs w:val="18"/>
                        </w:rPr>
                        <w:t>, but still lagging far behind</w:t>
                      </w:r>
                    </w:p>
                    <w:p w:rsidR="007312F7" w:rsidRPr="00FD2887" w:rsidRDefault="007312F7" w:rsidP="00FD2887">
                      <w:pPr>
                        <w:pStyle w:val="ListParagraph"/>
                        <w:numPr>
                          <w:ilvl w:val="0"/>
                          <w:numId w:val="10"/>
                        </w:numPr>
                        <w:rPr>
                          <w:color w:val="FFFFFF" w:themeColor="background1"/>
                          <w:sz w:val="18"/>
                          <w:szCs w:val="18"/>
                        </w:rPr>
                      </w:pPr>
                      <w:r w:rsidRPr="00FD2887">
                        <w:rPr>
                          <w:color w:val="FFFFFF" w:themeColor="background1"/>
                          <w:sz w:val="18"/>
                          <w:szCs w:val="18"/>
                        </w:rPr>
                        <w:t>Maternal mortality has been nearly halved from levels seen in 1990s</w:t>
                      </w:r>
                    </w:p>
                    <w:p w:rsidR="007312F7" w:rsidRPr="00FD2887" w:rsidRDefault="007312F7" w:rsidP="00FD2887">
                      <w:pPr>
                        <w:pStyle w:val="ListParagraph"/>
                        <w:numPr>
                          <w:ilvl w:val="0"/>
                          <w:numId w:val="10"/>
                        </w:numPr>
                        <w:rPr>
                          <w:color w:val="FFFFFF" w:themeColor="background1"/>
                          <w:sz w:val="18"/>
                          <w:szCs w:val="18"/>
                        </w:rPr>
                      </w:pPr>
                      <w:r>
                        <w:rPr>
                          <w:color w:val="FFFFFF" w:themeColor="background1"/>
                          <w:sz w:val="18"/>
                          <w:szCs w:val="18"/>
                        </w:rPr>
                        <w:t>The a</w:t>
                      </w:r>
                      <w:r w:rsidRPr="00FD2887">
                        <w:rPr>
                          <w:color w:val="FFFFFF" w:themeColor="background1"/>
                          <w:sz w:val="18"/>
                          <w:szCs w:val="18"/>
                        </w:rPr>
                        <w:t>verage maternal mortality</w:t>
                      </w:r>
                      <w:r>
                        <w:rPr>
                          <w:color w:val="FFFFFF" w:themeColor="background1"/>
                          <w:sz w:val="18"/>
                          <w:szCs w:val="18"/>
                        </w:rPr>
                        <w:t xml:space="preserve"> ratio</w:t>
                      </w:r>
                      <w:r w:rsidRPr="00FD2887">
                        <w:rPr>
                          <w:color w:val="FFFFFF" w:themeColor="background1"/>
                          <w:sz w:val="18"/>
                          <w:szCs w:val="18"/>
                        </w:rPr>
                        <w:t xml:space="preserve"> in Africa has reduced from 990</w:t>
                      </w:r>
                      <w:r>
                        <w:rPr>
                          <w:color w:val="FFFFFF" w:themeColor="background1"/>
                          <w:sz w:val="18"/>
                          <w:szCs w:val="18"/>
                        </w:rPr>
                        <w:t xml:space="preserve"> per 100,000 women</w:t>
                      </w:r>
                      <w:r w:rsidRPr="00FD2887">
                        <w:rPr>
                          <w:color w:val="FFFFFF" w:themeColor="background1"/>
                          <w:sz w:val="18"/>
                          <w:szCs w:val="18"/>
                        </w:rPr>
                        <w:t xml:space="preserve"> in 1990 to 510</w:t>
                      </w:r>
                      <w:r>
                        <w:rPr>
                          <w:color w:val="FFFFFF" w:themeColor="background1"/>
                          <w:sz w:val="18"/>
                          <w:szCs w:val="18"/>
                        </w:rPr>
                        <w:t xml:space="preserve"> per 100,000 women</w:t>
                      </w:r>
                      <w:r w:rsidRPr="00FD2887">
                        <w:rPr>
                          <w:color w:val="FFFFFF" w:themeColor="background1"/>
                          <w:sz w:val="18"/>
                          <w:szCs w:val="18"/>
                        </w:rPr>
                        <w:t xml:space="preserve"> in 2013, but still below the MDG target of 330</w:t>
                      </w:r>
                      <w:r>
                        <w:rPr>
                          <w:color w:val="FFFFFF" w:themeColor="background1"/>
                          <w:sz w:val="18"/>
                          <w:szCs w:val="18"/>
                        </w:rPr>
                        <w:t xml:space="preserve"> per 100,000 women</w:t>
                      </w:r>
                    </w:p>
                    <w:p w:rsidR="007312F7" w:rsidRPr="003C2FF7" w:rsidRDefault="007312F7" w:rsidP="003C2FF7">
                      <w:pPr>
                        <w:pStyle w:val="ListParagraph"/>
                        <w:numPr>
                          <w:ilvl w:val="0"/>
                          <w:numId w:val="10"/>
                        </w:numPr>
                        <w:rPr>
                          <w:color w:val="FFFFFF" w:themeColor="background1"/>
                          <w:sz w:val="18"/>
                          <w:szCs w:val="18"/>
                        </w:rPr>
                      </w:pPr>
                      <w:r w:rsidRPr="003C2FF7">
                        <w:rPr>
                          <w:color w:val="FFFFFF" w:themeColor="background1"/>
                          <w:sz w:val="18"/>
                          <w:szCs w:val="18"/>
                        </w:rPr>
                        <w:t>300,000 women died worldwide due to complications in childbirth in 2013. 56% of global maternal deaths still occur in Africa</w:t>
                      </w:r>
                    </w:p>
                    <w:p w:rsidR="007312F7" w:rsidRDefault="007312F7" w:rsidP="003C2FF7">
                      <w:pPr>
                        <w:pStyle w:val="ListParagraph"/>
                        <w:numPr>
                          <w:ilvl w:val="0"/>
                          <w:numId w:val="10"/>
                        </w:numPr>
                        <w:rPr>
                          <w:color w:val="FFFFFF" w:themeColor="background1"/>
                          <w:sz w:val="18"/>
                          <w:szCs w:val="18"/>
                        </w:rPr>
                      </w:pPr>
                      <w:r>
                        <w:rPr>
                          <w:color w:val="FFFFFF" w:themeColor="background1"/>
                          <w:sz w:val="18"/>
                          <w:szCs w:val="18"/>
                        </w:rPr>
                        <w:t xml:space="preserve">Only </w:t>
                      </w:r>
                      <w:r w:rsidRPr="003C2FF7">
                        <w:rPr>
                          <w:color w:val="FFFFFF" w:themeColor="background1"/>
                          <w:sz w:val="18"/>
                          <w:szCs w:val="18"/>
                        </w:rPr>
                        <w:t>53% of women delivered with the assistance of skilled attendants</w:t>
                      </w:r>
                    </w:p>
                    <w:p w:rsidR="007312F7" w:rsidRDefault="007312F7" w:rsidP="003C2FF7">
                      <w:pPr>
                        <w:pStyle w:val="ListParagraph"/>
                        <w:numPr>
                          <w:ilvl w:val="0"/>
                          <w:numId w:val="10"/>
                        </w:numPr>
                        <w:rPr>
                          <w:color w:val="FFFFFF" w:themeColor="background1"/>
                          <w:sz w:val="18"/>
                          <w:szCs w:val="18"/>
                        </w:rPr>
                      </w:pPr>
                      <w:r w:rsidRPr="003C2FF7">
                        <w:rPr>
                          <w:color w:val="FFFFFF" w:themeColor="background1"/>
                          <w:sz w:val="18"/>
                          <w:szCs w:val="18"/>
                        </w:rPr>
                        <w:t>Main causes of maternal de</w:t>
                      </w:r>
                      <w:r>
                        <w:rPr>
                          <w:color w:val="FFFFFF" w:themeColor="background1"/>
                          <w:sz w:val="18"/>
                          <w:szCs w:val="18"/>
                        </w:rPr>
                        <w:t>aths: postpartum haemorrhage (27.1</w:t>
                      </w:r>
                      <w:r w:rsidRPr="003C2FF7">
                        <w:rPr>
                          <w:color w:val="FFFFFF" w:themeColor="background1"/>
                          <w:sz w:val="18"/>
                          <w:szCs w:val="18"/>
                        </w:rPr>
                        <w:t>%), infection, pregnancy related hypertensive disorders</w:t>
                      </w:r>
                      <w:r>
                        <w:rPr>
                          <w:color w:val="FFFFFF" w:themeColor="background1"/>
                          <w:sz w:val="18"/>
                          <w:szCs w:val="18"/>
                        </w:rPr>
                        <w:t xml:space="preserve"> (14%)</w:t>
                      </w:r>
                      <w:r w:rsidRPr="003C2FF7">
                        <w:rPr>
                          <w:color w:val="FFFFFF" w:themeColor="background1"/>
                          <w:sz w:val="18"/>
                          <w:szCs w:val="18"/>
                        </w:rPr>
                        <w:t xml:space="preserve">; </w:t>
                      </w:r>
                      <w:r>
                        <w:rPr>
                          <w:color w:val="FFFFFF" w:themeColor="background1"/>
                          <w:sz w:val="18"/>
                          <w:szCs w:val="18"/>
                        </w:rPr>
                        <w:t xml:space="preserve">Sepsis (10%), </w:t>
                      </w:r>
                      <w:r w:rsidRPr="003C2FF7">
                        <w:rPr>
                          <w:color w:val="FFFFFF" w:themeColor="background1"/>
                          <w:sz w:val="18"/>
                          <w:szCs w:val="18"/>
                        </w:rPr>
                        <w:t>unsafe abortion</w:t>
                      </w:r>
                      <w:r>
                        <w:rPr>
                          <w:color w:val="FFFFFF" w:themeColor="background1"/>
                          <w:sz w:val="18"/>
                          <w:szCs w:val="18"/>
                        </w:rPr>
                        <w:t xml:space="preserve"> (7.9%)</w:t>
                      </w:r>
                      <w:r w:rsidRPr="003C2FF7">
                        <w:rPr>
                          <w:color w:val="FFFFFF" w:themeColor="background1"/>
                          <w:sz w:val="18"/>
                          <w:szCs w:val="18"/>
                        </w:rPr>
                        <w:t>,</w:t>
                      </w:r>
                      <w:r>
                        <w:rPr>
                          <w:color w:val="FFFFFF" w:themeColor="background1"/>
                          <w:sz w:val="18"/>
                          <w:szCs w:val="18"/>
                        </w:rPr>
                        <w:t xml:space="preserve"> embolism (3.2%)</w:t>
                      </w:r>
                      <w:r w:rsidRPr="003C2FF7">
                        <w:rPr>
                          <w:color w:val="FFFFFF" w:themeColor="background1"/>
                          <w:sz w:val="18"/>
                          <w:szCs w:val="18"/>
                        </w:rPr>
                        <w:t xml:space="preserve"> and</w:t>
                      </w:r>
                      <w:r>
                        <w:rPr>
                          <w:color w:val="FFFFFF" w:themeColor="background1"/>
                          <w:sz w:val="18"/>
                          <w:szCs w:val="18"/>
                        </w:rPr>
                        <w:t xml:space="preserve"> other direct causes including </w:t>
                      </w:r>
                      <w:r w:rsidRPr="003C2FF7">
                        <w:rPr>
                          <w:color w:val="FFFFFF" w:themeColor="background1"/>
                          <w:sz w:val="18"/>
                          <w:szCs w:val="18"/>
                        </w:rPr>
                        <w:t>obstructed labour</w:t>
                      </w:r>
                      <w:r>
                        <w:rPr>
                          <w:color w:val="FFFFFF" w:themeColor="background1"/>
                          <w:sz w:val="18"/>
                          <w:szCs w:val="18"/>
                        </w:rPr>
                        <w:t xml:space="preserve"> (9.6%)</w:t>
                      </w:r>
                      <w:r w:rsidRPr="003C2FF7">
                        <w:rPr>
                          <w:color w:val="FFFFFF" w:themeColor="background1"/>
                          <w:sz w:val="18"/>
                          <w:szCs w:val="18"/>
                        </w:rPr>
                        <w:t>.</w:t>
                      </w:r>
                    </w:p>
                    <w:p w:rsidR="007312F7" w:rsidRDefault="007312F7" w:rsidP="003C2FF7">
                      <w:pPr>
                        <w:rPr>
                          <w:color w:val="FFFFFF" w:themeColor="background1"/>
                          <w:sz w:val="18"/>
                          <w:szCs w:val="18"/>
                        </w:rPr>
                      </w:pPr>
                    </w:p>
                    <w:p w:rsidR="007312F7" w:rsidRDefault="007312F7" w:rsidP="003C2FF7">
                      <w:pPr>
                        <w:rPr>
                          <w:color w:val="FFFFFF" w:themeColor="background1"/>
                          <w:sz w:val="18"/>
                          <w:szCs w:val="18"/>
                        </w:rPr>
                      </w:pPr>
                      <w:r>
                        <w:rPr>
                          <w:color w:val="FFFFFF" w:themeColor="background1"/>
                          <w:sz w:val="18"/>
                          <w:szCs w:val="18"/>
                        </w:rPr>
                        <w:t>Policy and Programme Considerations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Continued focus on maternal health in the post 2015 agenda</w:t>
                      </w:r>
                    </w:p>
                    <w:p w:rsidR="007312F7" w:rsidRPr="004D0E80" w:rsidRDefault="007312F7" w:rsidP="004D0E80">
                      <w:pPr>
                        <w:pStyle w:val="ListParagraph"/>
                        <w:numPr>
                          <w:ilvl w:val="0"/>
                          <w:numId w:val="11"/>
                        </w:numPr>
                        <w:rPr>
                          <w:color w:val="FFFFFF" w:themeColor="background1"/>
                          <w:sz w:val="18"/>
                          <w:szCs w:val="18"/>
                        </w:rPr>
                      </w:pPr>
                      <w:r w:rsidRPr="004B67D1">
                        <w:rPr>
                          <w:color w:val="FFFFFF" w:themeColor="background1"/>
                          <w:sz w:val="18"/>
                          <w:szCs w:val="18"/>
                        </w:rPr>
                        <w:t xml:space="preserve">Continued high level advocacy on </w:t>
                      </w:r>
                      <w:r>
                        <w:rPr>
                          <w:color w:val="FFFFFF" w:themeColor="background1"/>
                          <w:sz w:val="18"/>
                          <w:szCs w:val="18"/>
                        </w:rPr>
                        <w:t>maternal health</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Greater focus on human resources for health</w:t>
                      </w:r>
                      <w:r>
                        <w:rPr>
                          <w:color w:val="FFFFFF" w:themeColor="background1"/>
                          <w:sz w:val="18"/>
                          <w:szCs w:val="18"/>
                        </w:rPr>
                        <w:t>, and availability of skilled birth attendants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 xml:space="preserve">Focus on most common causes </w:t>
                      </w:r>
                      <w:r>
                        <w:rPr>
                          <w:color w:val="FFFFFF" w:themeColor="background1"/>
                          <w:sz w:val="18"/>
                          <w:szCs w:val="18"/>
                        </w:rPr>
                        <w:t xml:space="preserve">of maternal death </w:t>
                      </w:r>
                      <w:r w:rsidRPr="004B67D1">
                        <w:rPr>
                          <w:color w:val="FFFFFF" w:themeColor="background1"/>
                          <w:sz w:val="18"/>
                          <w:szCs w:val="18"/>
                        </w:rPr>
                        <w:t>and High impact interventions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General strengthening of health systems</w:t>
                      </w:r>
                    </w:p>
                    <w:p w:rsidR="007312F7"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More robust data surveillance, collection, estimates and civil registration</w:t>
                      </w:r>
                    </w:p>
                    <w:p w:rsidR="007312F7" w:rsidRPr="004B67D1" w:rsidRDefault="007312F7" w:rsidP="004B67D1">
                      <w:pPr>
                        <w:pStyle w:val="ListParagraph"/>
                        <w:numPr>
                          <w:ilvl w:val="0"/>
                          <w:numId w:val="11"/>
                        </w:numPr>
                        <w:rPr>
                          <w:color w:val="FFFFFF" w:themeColor="background1"/>
                          <w:sz w:val="18"/>
                          <w:szCs w:val="18"/>
                        </w:rPr>
                      </w:pPr>
                      <w:r w:rsidRPr="004B67D1">
                        <w:rPr>
                          <w:color w:val="FFFFFF" w:themeColor="background1"/>
                          <w:sz w:val="18"/>
                          <w:szCs w:val="18"/>
                        </w:rPr>
                        <w:t>Waiver of user fees for pregnant women and children</w:t>
                      </w:r>
                      <w:r>
                        <w:rPr>
                          <w:color w:val="FFFFFF" w:themeColor="background1"/>
                          <w:sz w:val="18"/>
                          <w:szCs w:val="18"/>
                        </w:rPr>
                        <w:t xml:space="preserve">. Ensure </w:t>
                      </w:r>
                      <w:r w:rsidRPr="004B67D1">
                        <w:rPr>
                          <w:color w:val="FFFFFF" w:themeColor="background1"/>
                          <w:sz w:val="18"/>
                          <w:szCs w:val="18"/>
                        </w:rPr>
                        <w:t>protected financing for MNCH services</w:t>
                      </w:r>
                    </w:p>
                    <w:p w:rsidR="007312F7" w:rsidRDefault="007312F7" w:rsidP="003C2FF7">
                      <w:pPr>
                        <w:pStyle w:val="ListParagraph"/>
                        <w:ind w:left="360"/>
                        <w:rPr>
                          <w:color w:val="FFFFFF" w:themeColor="background1"/>
                          <w:sz w:val="18"/>
                          <w:szCs w:val="18"/>
                        </w:rPr>
                      </w:pPr>
                    </w:p>
                    <w:p w:rsidR="007312F7" w:rsidRDefault="007312F7" w:rsidP="003C2FF7">
                      <w:pPr>
                        <w:pStyle w:val="ListParagraph"/>
                        <w:ind w:left="360"/>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Default="007312F7" w:rsidP="00FD2887">
                      <w:pPr>
                        <w:rPr>
                          <w:color w:val="FFFFFF" w:themeColor="background1"/>
                          <w:sz w:val="18"/>
                          <w:szCs w:val="18"/>
                        </w:rPr>
                      </w:pPr>
                    </w:p>
                    <w:p w:rsidR="007312F7" w:rsidRPr="00FD2887" w:rsidRDefault="007312F7" w:rsidP="00FD2887">
                      <w:pPr>
                        <w:rPr>
                          <w:color w:val="FFFFFF" w:themeColor="background1"/>
                          <w:sz w:val="18"/>
                          <w:szCs w:val="18"/>
                        </w:rPr>
                      </w:pPr>
                    </w:p>
                  </w:txbxContent>
                </v:textbox>
                <w10:wrap type="square" anchorx="page" anchory="margin"/>
              </v:rect>
            </w:pict>
          </mc:Fallback>
        </mc:AlternateContent>
      </w:r>
      <w:r w:rsidR="00A27B67">
        <w:t xml:space="preserve">There has been some progress in reducing maternal mortality on the African continent </w:t>
      </w:r>
      <w:r w:rsidR="005D07EB">
        <w:t xml:space="preserve">driven by the political will </w:t>
      </w:r>
      <w:r w:rsidR="00884737">
        <w:t>at the highest level</w:t>
      </w:r>
      <w:r w:rsidR="005D07EB">
        <w:t xml:space="preserve">. The </w:t>
      </w:r>
      <w:r w:rsidR="00A67EBA">
        <w:t>M</w:t>
      </w:r>
      <w:r w:rsidR="000C32F0">
        <w:t>MR</w:t>
      </w:r>
      <w:r w:rsidR="005D07EB">
        <w:t xml:space="preserve"> has reduced by almost 50% from levels </w:t>
      </w:r>
      <w:r w:rsidR="00290AC5">
        <w:t xml:space="preserve">witnessed </w:t>
      </w:r>
      <w:r w:rsidR="00D06BD6">
        <w:t xml:space="preserve">in 1990. The average </w:t>
      </w:r>
      <w:r w:rsidR="00482FD8">
        <w:t>M</w:t>
      </w:r>
      <w:r w:rsidR="000C32F0">
        <w:t>MR</w:t>
      </w:r>
      <w:r w:rsidR="00F17654">
        <w:t xml:space="preserve"> in </w:t>
      </w:r>
      <w:r w:rsidR="005D07EB">
        <w:t>Africa</w:t>
      </w:r>
      <w:r w:rsidR="00F17654">
        <w:t xml:space="preserve"> South of the Sahara</w:t>
      </w:r>
      <w:r w:rsidR="005D07EB">
        <w:t xml:space="preserve"> in 1990 was 990 per 100,000 women; and this dropped to 510 per 100,000 women in 2013. </w:t>
      </w:r>
      <w:r w:rsidR="00BE340C">
        <w:t xml:space="preserve">There was also a rise in the number of births attended by skilled personnel from 40% in 1990 to 53% in 2013. These gains however </w:t>
      </w:r>
      <w:r w:rsidR="00290AC5">
        <w:t xml:space="preserve">are still not sufficient </w:t>
      </w:r>
      <w:r w:rsidR="00BE340C">
        <w:t xml:space="preserve">to attain MDG 5, and bring about significant health benefits to mothers and children on the continent. The vast majority of maternal deaths (56%) still occur in Africa, exerting a significant toll on health services, but also disrupting </w:t>
      </w:r>
      <w:r w:rsidR="00910FB9">
        <w:t xml:space="preserve">societal and community cohesion, as well as draining local and national economies. </w:t>
      </w:r>
      <w:r w:rsidR="00BE340C">
        <w:t>The average rate of reduction of maternal mortality wor</w:t>
      </w:r>
      <w:r w:rsidR="00910FB9">
        <w:t xml:space="preserve">ldwide </w:t>
      </w:r>
      <w:r w:rsidR="00BE340C">
        <w:t xml:space="preserve">between 1990 and 2005 </w:t>
      </w:r>
      <w:r w:rsidR="00910FB9">
        <w:t xml:space="preserve">was </w:t>
      </w:r>
      <w:r w:rsidR="00BE340C">
        <w:t>about 1</w:t>
      </w:r>
      <w:r w:rsidR="00910FB9">
        <w:t>% per year, as opposed to a desired reduction of 5% per year to attain the MDGs.</w:t>
      </w:r>
      <w:r w:rsidR="008F0C9C">
        <w:t xml:space="preserve"> Perhaps, not captured by most data sets, is the prevalence of permanent and </w:t>
      </w:r>
      <w:r w:rsidR="0005182D">
        <w:t>long-term</w:t>
      </w:r>
      <w:r w:rsidR="008F0C9C">
        <w:t xml:space="preserve"> complications that arise from childbirth. Women might survive </w:t>
      </w:r>
      <w:r w:rsidR="0005182D">
        <w:t>childbirth</w:t>
      </w:r>
      <w:r w:rsidR="008F0C9C">
        <w:t>, but due to delays in obtaining care and lack of skilled delivery develop debilitating complications such as obstetric fistulas (which further ostracises women in the community), pelvic and perineal injuries, urinary incontinence</w:t>
      </w:r>
      <w:r w:rsidR="00EF6E3B">
        <w:t xml:space="preserve"> and other related injuries.</w:t>
      </w:r>
    </w:p>
    <w:p w:rsidR="004742DF" w:rsidRDefault="004742DF" w:rsidP="007312F7">
      <w:pPr>
        <w:jc w:val="both"/>
      </w:pPr>
    </w:p>
    <w:p w:rsidR="003F15AA" w:rsidRDefault="004742DF" w:rsidP="007312F7">
      <w:pPr>
        <w:jc w:val="both"/>
      </w:pPr>
      <w:r>
        <w:t xml:space="preserve">The majority of maternal deaths are due to preventable or treatable causes. Despite differences in geography, populations and economies </w:t>
      </w:r>
      <w:r w:rsidR="00D06BD6">
        <w:t>among</w:t>
      </w:r>
      <w:r w:rsidR="004D0E80">
        <w:t xml:space="preserve"> </w:t>
      </w:r>
      <w:r w:rsidR="0005182D">
        <w:t>countries,</w:t>
      </w:r>
      <w:r>
        <w:t xml:space="preserve"> th</w:t>
      </w:r>
      <w:r w:rsidR="002B5AE4">
        <w:t xml:space="preserve">e causes have a </w:t>
      </w:r>
      <w:r>
        <w:t xml:space="preserve">similar </w:t>
      </w:r>
      <w:r w:rsidR="002B5AE4">
        <w:t>profile in low income countries. About 73% of all maternal deaths between 2003 and 2009 were due to direct obstetric causes and deaths due to indirect causes accounted for 27·5%</w:t>
      </w:r>
      <w:r w:rsidR="00373FF7">
        <w:fldChar w:fldCharType="begin" w:fldLock="1"/>
      </w:r>
      <w:r w:rsidR="00B56F2B">
        <w:instrText>ADDIN CSL_CITATION { "citationItems" : [ { "id" : "ITEM-1", "itemData" : { "DOI" : "10.1016/S2214-109X(14)70227-X", "ISSN" : "2214109X", "PMID" : "25103301", "abstract" : "BACKGROUND: Data for the causes of maternal deaths are needed to inform policies to improve maternal health. We developed and analysed global, regional, and subregional estimates of the causes of maternal death during 2003-09, with a novel method, updating the previous WHO systematic review.\n\nMETHODS: We searched specialised and general bibliographic databases for articles published between between Jan 1, 2003, and Dec 31, 2012, for research data, with no language restrictions, and the WHO mortality database for vital registration data. On the basis of prespecified inclusion criteria, we analysed causes of maternal death from datasets. We aggregated country level estimates to report estimates of causes of death by Millennium Development Goal regions and worldwide, for main and subcauses of death categories with a Bayesian hierarchical model.\n\nFINDINGS: We identified 23 eligible studies (published 2003-12). We included 417 datasets from 115 countries comprising 60\u2008799 deaths in the analysis. About 73% (1\u2008771\u2008000 of 2\u2008443\u2008000) of all maternal deaths between 2003 and 2009 were due to direct obstetric causes and deaths due to indirect causes accounted for 27\u00b75% (672\u2008000, 95% UI 19\u00b77-37\u00b75) of all deaths. Haemorrhage accounted for 27\u00b71% (661\u2008000, 19\u00b79-36\u00b72), hypertensive disorders 14\u00b70% (343\u2008000, 11\u00b71-17\u00b74), and sepsis 10\u00b77% (261\u2008000, 5\u00b79-18\u00b76) of maternal deaths. The rest of deaths were due to abortion (7\u00b79% [193\u2008000], 4\u00b77-13\u00b72), embolism (3\u00b72% [78\u2008000], 1\u00b78-5\u00b75), and all other direct causes of death (9\u00b76% [235\u2008000], 6\u00b75-14\u00b73). Regional estimates varied substantially.\n\nINTERPRETATION: Between 2003 and 2009, haemorrhage, hypertensive disorders, and sepsis were responsible for more than half of maternal deaths worldwide. More than a quarter of deaths were attributable to indirect causes. These analyses should inform the prioritisation of health policies, programmes, and funding to reduce maternal deaths at regional and global levels. Further efforts are needed to improve the availability and quality of data related to maternal mortality.", "author" : [ { "dropping-particle" : "", "family" : "Say", "given" : "Lale", "non-dropping-particle" : "", "parse-names" : false, "suffix" : "" }, { "dropping-particle" : "", "family" : "Chou", "given" : "Doris", "non-dropping-particle" : "", "parse-names" : false, "suffix" : "" }, { "dropping-particle" : "", "family" : "Gemmill", "given" : "Alison", "non-dropping-particle" : "", "parse-names" : false, "suffix" : "" }, { "dropping-particle" : "", "family" : "Tun\u00e7alp", "given" : "\u00d6zge", "non-dropping-particle" : "", "parse-names" : false, "suffix" : "" }, { "dropping-particle" : "", "family" : "Moller", "given" : "Ann-Beth", "non-dropping-particle" : "", "parse-names" : false, "suffix" : "" }, { "dropping-particle" : "", "family" : "Daniels", "given" : "Jane", "non-dropping-particle" : "", "parse-names" : false, "suffix" : "" }, { "dropping-particle" : "", "family" : "G\u00fclmezoglu", "given" : "A Metin", "non-dropping-particle" : "", "parse-names" : false, "suffix" : "" }, { "dropping-particle" : "", "family" : "Temmerman", "given" : "Marleen", "non-dropping-particle" : "", "parse-names" : false, "suffix" : "" }, { "dropping-particle" : "", "family" : "Alkema", "given" : "Leontine", "non-dropping-particle" : "", "parse-names" : false, "suffix" : "" } ], "container-title" : "The Lancet Global Health", "id" : "ITEM-1", "issue" : "6", "issued" : { "date-parts" : [ [ "2014", "6", "6" ] ] }, "page" : "e323-e333", "publisher" : "Elsevier", "title" : "Global causes of maternal death: a WHO systematic analysis", "type" : "article-journal", "volume" : "2" }, "uris" : [ "http://www.mendeley.com/documents/?uuid=d4755361-1305-4fdc-8016-39df1cee1472" ] } ], "mendeley" : { "formattedCitation" : "&lt;sup&gt;8&lt;/sup&gt;", "plainTextFormattedCitation" : "8", "previouslyFormattedCitation" : "&lt;sup&gt;8&lt;/sup&gt;" }, "properties" : { "noteIndex" : 0 }, "schema" : "https://github.com/citation-style-language/schema/raw/master/csl-citation.json" }</w:instrText>
      </w:r>
      <w:r w:rsidR="00373FF7">
        <w:fldChar w:fldCharType="separate"/>
      </w:r>
      <w:r w:rsidR="007D14FF" w:rsidRPr="007D14FF">
        <w:rPr>
          <w:noProof/>
          <w:vertAlign w:val="superscript"/>
        </w:rPr>
        <w:t>8</w:t>
      </w:r>
      <w:r w:rsidR="00373FF7">
        <w:fldChar w:fldCharType="end"/>
      </w:r>
      <w:r w:rsidR="002B5AE4">
        <w:t xml:space="preserve">. </w:t>
      </w:r>
      <w:r w:rsidR="00884737">
        <w:t>More than half of all maternal deaths worldwide are attributable to haemorrhage, hypertensive disorders, and sepsis.</w:t>
      </w:r>
      <w:r w:rsidR="004C5036">
        <w:t xml:space="preserve"> </w:t>
      </w:r>
      <w:r w:rsidR="00801CED">
        <w:t xml:space="preserve">The vast majority of deaths are as a result of haemorrhage following birth. Postpartum haemorrhage </w:t>
      </w:r>
      <w:r w:rsidR="00AD2AE5">
        <w:t xml:space="preserve">resulting from </w:t>
      </w:r>
      <w:r w:rsidR="00801CED">
        <w:t>uterine atony, retained products of conception, vaginal, perineal or cervical tears</w:t>
      </w:r>
      <w:r w:rsidR="004C5036">
        <w:t xml:space="preserve"> </w:t>
      </w:r>
      <w:r w:rsidR="00801CED" w:rsidRPr="002B5AE4">
        <w:t>account</w:t>
      </w:r>
      <w:r w:rsidR="002B5AE4">
        <w:t>s for 27.1</w:t>
      </w:r>
      <w:r w:rsidR="007923A7" w:rsidRPr="002B5AE4">
        <w:t>% of all maternal death. Pregnancy related hyper</w:t>
      </w:r>
      <w:r w:rsidR="002B5AE4">
        <w:t>tensive disorders account for 14</w:t>
      </w:r>
      <w:r w:rsidR="007923A7" w:rsidRPr="002B5AE4">
        <w:t>% of maternal deaths</w:t>
      </w:r>
      <w:r w:rsidR="00884737">
        <w:t xml:space="preserve"> whereas</w:t>
      </w:r>
      <w:r w:rsidR="004C5036">
        <w:t xml:space="preserve"> </w:t>
      </w:r>
      <w:r w:rsidR="00884737">
        <w:t>b</w:t>
      </w:r>
      <w:r w:rsidR="00884737" w:rsidRPr="002B5AE4">
        <w:t>irth</w:t>
      </w:r>
      <w:r w:rsidR="00884737">
        <w:t xml:space="preserve"> related i</w:t>
      </w:r>
      <w:r w:rsidR="001B7339" w:rsidRPr="002B5AE4">
        <w:t>nfections account for 10</w:t>
      </w:r>
      <w:r w:rsidR="002B5AE4">
        <w:t>.7%. The other causes of maternal death are abortion (7·9%), embolism (3·2%), and all other direct causes of death (9·6%)</w:t>
      </w:r>
      <w:r w:rsidR="001B7339" w:rsidRPr="002B5AE4">
        <w:t xml:space="preserve">. </w:t>
      </w:r>
      <w:r w:rsidR="00B2555D">
        <w:t>The major indirect</w:t>
      </w:r>
      <w:r w:rsidR="00226ABF">
        <w:t xml:space="preserve"> causes of maternal death </w:t>
      </w:r>
      <w:r w:rsidR="00B2555D">
        <w:t>include malaria, HIV and trauma</w:t>
      </w:r>
      <w:r w:rsidR="00B2555D">
        <w:rPr>
          <w:vertAlign w:val="superscript"/>
        </w:rPr>
        <w:t>11</w:t>
      </w:r>
      <w:r w:rsidR="00226ABF">
        <w:t>.</w:t>
      </w:r>
    </w:p>
    <w:p w:rsidR="003F15AA" w:rsidRDefault="003F15AA" w:rsidP="007312F7">
      <w:pPr>
        <w:jc w:val="both"/>
      </w:pPr>
    </w:p>
    <w:p w:rsidR="003F15AA" w:rsidRDefault="003F15AA" w:rsidP="007312F7">
      <w:pPr>
        <w:jc w:val="both"/>
      </w:pPr>
    </w:p>
    <w:p w:rsidR="003F15AA" w:rsidRDefault="003F15AA" w:rsidP="007312F7">
      <w:pPr>
        <w:jc w:val="both"/>
      </w:pPr>
    </w:p>
    <w:p w:rsidR="00B11B33" w:rsidRDefault="00B11B33" w:rsidP="007312F7">
      <w:pPr>
        <w:jc w:val="both"/>
      </w:pPr>
    </w:p>
    <w:p w:rsidR="00226ABF" w:rsidRDefault="00226ABF" w:rsidP="007312F7">
      <w:pPr>
        <w:pStyle w:val="Caption"/>
        <w:keepNext/>
        <w:jc w:val="both"/>
      </w:pPr>
      <w:bookmarkStart w:id="24" w:name="TOC408292357"/>
      <w:bookmarkStart w:id="25" w:name="_Toc411525283"/>
      <w:r>
        <w:t xml:space="preserve">Graph </w:t>
      </w:r>
      <w:fldSimple w:instr=" SEQ Graph \* ARABIC ">
        <w:r w:rsidR="00641459">
          <w:rPr>
            <w:noProof/>
          </w:rPr>
          <w:t>3</w:t>
        </w:r>
      </w:fldSimple>
      <w:r>
        <w:t xml:space="preserve">: Causes of Maternal </w:t>
      </w:r>
      <w:bookmarkEnd w:id="24"/>
      <w:r>
        <w:t>death</w:t>
      </w:r>
      <w:bookmarkEnd w:id="25"/>
    </w:p>
    <w:p w:rsidR="003F15AA" w:rsidRDefault="003F15AA" w:rsidP="007312F7">
      <w:pPr>
        <w:jc w:val="both"/>
      </w:pPr>
      <w:r>
        <w:rPr>
          <w:noProof/>
          <w:lang w:val="en-US"/>
        </w:rPr>
        <w:drawing>
          <wp:inline distT="0" distB="0" distL="0" distR="0" wp14:anchorId="7CA5F348" wp14:editId="057306B9">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15AA" w:rsidRDefault="003F15AA" w:rsidP="007312F7">
      <w:pPr>
        <w:jc w:val="both"/>
      </w:pPr>
    </w:p>
    <w:p w:rsidR="002B5AE4" w:rsidRDefault="001B7339" w:rsidP="007312F7">
      <w:pPr>
        <w:jc w:val="both"/>
      </w:pPr>
      <w:r w:rsidRPr="002B5AE4">
        <w:t xml:space="preserve">The </w:t>
      </w:r>
      <w:r w:rsidR="002B5AE4">
        <w:t xml:space="preserve">major </w:t>
      </w:r>
      <w:r w:rsidRPr="002B5AE4">
        <w:t>indirect causes of maternal death in</w:t>
      </w:r>
      <w:r w:rsidR="002B5AE4">
        <w:t xml:space="preserve">clude malaria, HIV and trauma </w:t>
      </w:r>
      <w:r w:rsidR="00373FF7">
        <w:fldChar w:fldCharType="begin" w:fldLock="1"/>
      </w:r>
      <w:r w:rsidR="00B56F2B">
        <w:instrText>ADDIN CSL_CITATION { "citationItems" : [ { "id" : "ITEM-1", "itemData" : { "DOI" : "10.1016/S0140-6736(06)68397-9", "ISSN" : "1474-547X", "PMID" : "16581405", "abstract" : "BACKGROUND: The reduction of maternal deaths is a key international development goal. Evidence-based health policies and programmes aiming to reduce maternal deaths need reliable and valid information. We undertook a systematic review to determine the distribution of causes of maternal deaths.\n\nMETHODS: We selected datasets using prespecified criteria, and recorded dataset characteristics, methodological features, and causes of maternal deaths. All analyses were restricted to datasets representative of populations. We analysed joint causes of maternal deaths from datasets reporting at least four major causes (haemorrhage, hypertensive disorders, sepsis, abortion, obstructed labour, ectopic pregnancy, embolism). We examined datasets reporting individual causes of death to investigate the heterogeneity due to methodological features and geographical region and the contribution of haemorrhage, hypertensive disorders, abortion, and sepsis as causes of maternal death at the country level.\n\nFINDINGS: 34 datasets (35,197 maternal deaths) were included in the primary analysis. We recorded wide regional variation in the causes of maternal deaths. Haemorrhage was the leading cause of death in Africa (point estimate 33.9%, range 13.3-43.6; eight datasets, 4508 deaths) and in Asia (30.8%, 5.9-48.5; 11,16 089). In Latin America and the Caribbean, hypertensive disorders were responsible for the most deaths (25.7%, 7.9-52.4; ten, 11,777). Abortion deaths were the highest in Latin America and the Caribbean (12%), which can be as high as 30% of all deaths in some countries in this region. Deaths due to sepsis were higher in Africa (odds ratio 2.71), Asia (1.91), and Latin America and the Caribbean (2.06) than in developed countries.\n\nINTERPRETATION: Haemorrhage and hypertensive disorders are major contributors to maternal deaths in developing countries. These data should inform evidence-based reproductive health-care policies and programmes at regional and national levels. Capacity-strengthening efforts to improve the quality of burden-of-disease studies will further validate future estimates.", "author" : [ { "dropping-particle" : "", "family" : "Khan", "given" : "Khalid S", "non-dropping-particle" : "", "parse-names" : false, "suffix" : "" }, { "dropping-particle" : "", "family" : "Wojdyla", "given" : "Daniel", "non-dropping-particle" : "", "parse-names" : false, "suffix" : "" }, { "dropping-particle" : "", "family" : "Say", "given" : "Lale", "non-dropping-particle" : "", "parse-names" : false, "suffix" : "" }, { "dropping-particle" : "", "family" : "G\u00fclmezoglu", "given" : "A Metin", "non-dropping-particle" : "", "parse-names" : false, "suffix" : "" }, { "dropping-particle" : "", "family" : "Look", "given" : "Paul F A", "non-dropping-particle" : "Van", "parse-names" : false, "suffix" : "" } ], "container-title" : "Lancet", "id" : "ITEM-1", "issue" : "9516", "issued" : { "date-parts" : [ [ "2006", "4", "1" ] ] }, "page" : "1066-74", "publisher" : "Elsevier", "title" : "WHO analysis of causes of maternal death: a systematic review.", "type" : "article-journal", "volume" : "367" }, "uris" : [ "http://www.mendeley.com/documents/?uuid=5ad04ca6-0286-4aa0-9219-65f5985d3f18" ] } ], "mendeley" : { "formattedCitation" : "&lt;sup&gt;9&lt;/sup&gt;", "plainTextFormattedCitation" : "9", "previouslyFormattedCitation" : "&lt;sup&gt;9&lt;/sup&gt;" }, "properties" : { "noteIndex" : 0 }, "schema" : "https://github.com/citation-style-language/schema/raw/master/csl-citation.json" }</w:instrText>
      </w:r>
      <w:r w:rsidR="00373FF7">
        <w:fldChar w:fldCharType="separate"/>
      </w:r>
      <w:r w:rsidR="007D14FF" w:rsidRPr="007D14FF">
        <w:rPr>
          <w:noProof/>
          <w:vertAlign w:val="superscript"/>
        </w:rPr>
        <w:t>9</w:t>
      </w:r>
      <w:r w:rsidR="00373FF7">
        <w:fldChar w:fldCharType="end"/>
      </w:r>
      <w:r w:rsidR="002B5AE4">
        <w:t>.</w:t>
      </w:r>
      <w:r w:rsidR="00226ABF">
        <w:t xml:space="preserve"> Policies that focus on the main causes of maternal death</w:t>
      </w:r>
      <w:r w:rsidR="007D7AF8">
        <w:t xml:space="preserve">, are therefore </w:t>
      </w:r>
      <w:r w:rsidR="00CA01E4">
        <w:t xml:space="preserve">essential </w:t>
      </w:r>
      <w:r w:rsidR="007D7AF8">
        <w:t>to reduce the high burden of maternal mortality on the continent.</w:t>
      </w:r>
      <w:r w:rsidR="00B42935">
        <w:t xml:space="preserve"> </w:t>
      </w:r>
      <w:r w:rsidR="00CA01E4">
        <w:t>The</w:t>
      </w:r>
      <w:r w:rsidR="00B42935">
        <w:t xml:space="preserve"> overt causes of maternal deaths are under</w:t>
      </w:r>
      <w:r w:rsidR="00CA01E4">
        <w:t>-</w:t>
      </w:r>
      <w:r w:rsidR="00B42935">
        <w:t xml:space="preserve">pinned by several societal factors </w:t>
      </w:r>
      <w:r w:rsidR="00CA01E4">
        <w:t>including</w:t>
      </w:r>
      <w:r w:rsidR="00B42935">
        <w:t xml:space="preserve"> poverty, gender relations, weak health systems and low education.</w:t>
      </w:r>
    </w:p>
    <w:p w:rsidR="002B5AE4" w:rsidRDefault="002B5AE4" w:rsidP="007312F7">
      <w:pPr>
        <w:jc w:val="both"/>
      </w:pPr>
    </w:p>
    <w:p w:rsidR="00907337" w:rsidRDefault="00226ABF" w:rsidP="007312F7">
      <w:pPr>
        <w:jc w:val="both"/>
      </w:pPr>
      <w:r>
        <w:t>There has been some reduction</w:t>
      </w:r>
      <w:r w:rsidR="007D7AF8">
        <w:t xml:space="preserve"> in the MMR in Africa. At the end of 2013, the average MMR was 425.6, with variation across the continent.</w:t>
      </w:r>
      <w:r>
        <w:t xml:space="preserve"> </w:t>
      </w:r>
      <w:r w:rsidR="00C86355">
        <w:t xml:space="preserve">Figure 1 </w:t>
      </w:r>
      <w:r w:rsidR="00907337">
        <w:t xml:space="preserve">shows </w:t>
      </w:r>
      <w:r w:rsidR="00EB5017">
        <w:t>a map of African countries modelled by MMR in 2013. It provides a snapshot of the regions with high maternal mortality on the continent.</w:t>
      </w:r>
      <w:r w:rsidR="00C86355">
        <w:t xml:space="preserve"> There is no obvious geographical predilection for high MMR, and preventable maternal deaths are still occurring in all parts of the continent.</w:t>
      </w:r>
    </w:p>
    <w:p w:rsidR="00EB5017" w:rsidRDefault="00EB5017" w:rsidP="007312F7">
      <w:pPr>
        <w:jc w:val="both"/>
      </w:pPr>
    </w:p>
    <w:p w:rsidR="00193352" w:rsidRDefault="00193352" w:rsidP="007312F7">
      <w:pPr>
        <w:pStyle w:val="Caption"/>
        <w:keepNext/>
        <w:jc w:val="both"/>
      </w:pPr>
      <w:bookmarkStart w:id="26" w:name="TOC408284539"/>
      <w:bookmarkStart w:id="27" w:name="_Toc411294816"/>
      <w:r>
        <w:lastRenderedPageBreak/>
        <w:t xml:space="preserve">Figure </w:t>
      </w:r>
      <w:fldSimple w:instr=" SEQ Figure \* ARABIC ">
        <w:r>
          <w:rPr>
            <w:noProof/>
          </w:rPr>
          <w:t>1</w:t>
        </w:r>
      </w:fldSimple>
      <w:r>
        <w:t>: Map of Africa showing MMR</w:t>
      </w:r>
      <w:bookmarkEnd w:id="26"/>
      <w:bookmarkEnd w:id="27"/>
    </w:p>
    <w:p w:rsidR="00EB5017" w:rsidRDefault="00EB5017" w:rsidP="007312F7">
      <w:pPr>
        <w:jc w:val="both"/>
      </w:pPr>
      <w:r>
        <w:rPr>
          <w:noProof/>
          <w:lang w:val="en-US"/>
        </w:rPr>
        <w:drawing>
          <wp:inline distT="0" distB="0" distL="0" distR="0" wp14:anchorId="28D59A89" wp14:editId="25963D82">
            <wp:extent cx="5759450" cy="48888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R.PNG"/>
                    <pic:cNvPicPr/>
                  </pic:nvPicPr>
                  <pic:blipFill>
                    <a:blip r:embed="rId12">
                      <a:extLst>
                        <a:ext uri="{28A0092B-C50C-407E-A947-70E740481C1C}">
                          <a14:useLocalDpi xmlns:a14="http://schemas.microsoft.com/office/drawing/2010/main" val="0"/>
                        </a:ext>
                      </a:extLst>
                    </a:blip>
                    <a:stretch>
                      <a:fillRect/>
                    </a:stretch>
                  </pic:blipFill>
                  <pic:spPr>
                    <a:xfrm>
                      <a:off x="0" y="0"/>
                      <a:ext cx="5759450" cy="4888865"/>
                    </a:xfrm>
                    <a:prstGeom prst="rect">
                      <a:avLst/>
                    </a:prstGeom>
                  </pic:spPr>
                </pic:pic>
              </a:graphicData>
            </a:graphic>
          </wp:inline>
        </w:drawing>
      </w:r>
    </w:p>
    <w:p w:rsidR="00907337" w:rsidRPr="00C86355" w:rsidRDefault="00C86355" w:rsidP="007312F7">
      <w:pPr>
        <w:jc w:val="both"/>
        <w:rPr>
          <w:sz w:val="16"/>
          <w:szCs w:val="16"/>
        </w:rPr>
      </w:pPr>
      <w:r>
        <w:rPr>
          <w:sz w:val="16"/>
          <w:szCs w:val="16"/>
        </w:rPr>
        <w:t xml:space="preserve">From </w:t>
      </w:r>
      <w:r w:rsidR="00373FF7">
        <w:rPr>
          <w:sz w:val="16"/>
          <w:szCs w:val="16"/>
        </w:rPr>
        <w:fldChar w:fldCharType="begin" w:fldLock="1"/>
      </w:r>
      <w:r w:rsidR="00B56F2B">
        <w:rPr>
          <w:sz w:val="16"/>
          <w:szCs w:val="16"/>
        </w:rPr>
        <w:instrText>ADDIN CSL_CITATION { "citationItems" : [ { "id" : "ITEM-1", "itemData" : { "URL" : "http://data.worldbank.org/indicator/SH.STA.MMRT/countries/all?display=map", "accessed" : { "date-parts" : [ [ "2015", "1", "6" ] ] }, "author" : [ { "dropping-particle" : "", "family" : "World Bank", "given" : "", "non-dropping-particle" : "", "parse-names" : false, "suffix" : "" } ], "id" : "ITEM-1", "issued" : { "date-parts" : [ [ "0" ] ] }, "title" : "Maternal mortality ratio (modeled estimate, per 100,000 live births) | Data | Map", "type" : "webpage" }, "uris" : [ "http://www.mendeley.com/documents/?uuid=7363bacc-7a31-43bf-b125-0c0d94ac7340" ] } ], "mendeley" : { "formattedCitation" : "&lt;sup&gt;10&lt;/sup&gt;", "plainTextFormattedCitation" : "10", "previouslyFormattedCitation" : "&lt;sup&gt;10&lt;/sup&gt;" }, "properties" : { "noteIndex" : 0 }, "schema" : "https://github.com/citation-style-language/schema/raw/master/csl-citation.json" }</w:instrText>
      </w:r>
      <w:r w:rsidR="00373FF7">
        <w:rPr>
          <w:sz w:val="16"/>
          <w:szCs w:val="16"/>
        </w:rPr>
        <w:fldChar w:fldCharType="separate"/>
      </w:r>
      <w:r w:rsidR="007D14FF" w:rsidRPr="007D14FF">
        <w:rPr>
          <w:noProof/>
          <w:sz w:val="16"/>
          <w:szCs w:val="16"/>
          <w:vertAlign w:val="superscript"/>
        </w:rPr>
        <w:t>10</w:t>
      </w:r>
      <w:r w:rsidR="00373FF7">
        <w:rPr>
          <w:sz w:val="16"/>
          <w:szCs w:val="16"/>
        </w:rPr>
        <w:fldChar w:fldCharType="end"/>
      </w:r>
    </w:p>
    <w:p w:rsidR="004D0D6C" w:rsidRDefault="004D0D6C" w:rsidP="007312F7">
      <w:pPr>
        <w:jc w:val="both"/>
      </w:pPr>
    </w:p>
    <w:p w:rsidR="00CA01E4" w:rsidRDefault="00CA01E4" w:rsidP="007312F7">
      <w:pPr>
        <w:jc w:val="both"/>
      </w:pPr>
    </w:p>
    <w:p w:rsidR="00CA01E4" w:rsidRDefault="00CA01E4" w:rsidP="007312F7">
      <w:pPr>
        <w:jc w:val="both"/>
      </w:pPr>
    </w:p>
    <w:p w:rsidR="00CA01E4" w:rsidRDefault="00CA01E4" w:rsidP="007312F7">
      <w:pPr>
        <w:jc w:val="both"/>
      </w:pPr>
    </w:p>
    <w:p w:rsidR="00910FB9" w:rsidRDefault="00C86355" w:rsidP="007312F7">
      <w:pPr>
        <w:jc w:val="both"/>
      </w:pPr>
      <w:r>
        <w:t>Graph 5</w:t>
      </w:r>
      <w:r w:rsidR="00910FB9">
        <w:t xml:space="preserve"> shows the maternal mortality rates in African countries in 1</w:t>
      </w:r>
      <w:r w:rsidR="00EB5017">
        <w:t xml:space="preserve">990, 2010 and 2013. </w:t>
      </w:r>
      <w:r w:rsidR="00666B22">
        <w:t>At the end of 2013, t</w:t>
      </w:r>
      <w:r>
        <w:t>here is a continued trend of reduction of MMR in nearly every country on the continent.</w:t>
      </w:r>
      <w:r w:rsidR="00666B22">
        <w:t xml:space="preserve"> </w:t>
      </w:r>
    </w:p>
    <w:p w:rsidR="00EB5017" w:rsidRDefault="00EB5017" w:rsidP="007312F7">
      <w:pPr>
        <w:jc w:val="both"/>
      </w:pPr>
    </w:p>
    <w:p w:rsidR="00193352" w:rsidRDefault="00193352" w:rsidP="007312F7">
      <w:pPr>
        <w:pStyle w:val="Caption"/>
        <w:keepNext/>
        <w:jc w:val="both"/>
      </w:pPr>
      <w:bookmarkStart w:id="28" w:name="TOC408286189"/>
      <w:bookmarkStart w:id="29" w:name="_Toc411525284"/>
      <w:r>
        <w:lastRenderedPageBreak/>
        <w:t xml:space="preserve">Graph </w:t>
      </w:r>
      <w:fldSimple w:instr=" SEQ Graph \* ARABIC ">
        <w:r w:rsidR="00641459">
          <w:rPr>
            <w:noProof/>
          </w:rPr>
          <w:t>4</w:t>
        </w:r>
      </w:fldSimple>
      <w:r>
        <w:t>: Maternal Mortality Rates 1990, 2010, 2013</w:t>
      </w:r>
      <w:bookmarkEnd w:id="28"/>
      <w:bookmarkEnd w:id="29"/>
    </w:p>
    <w:p w:rsidR="00EB5017" w:rsidRDefault="00EB5017" w:rsidP="007312F7">
      <w:pPr>
        <w:jc w:val="both"/>
      </w:pPr>
      <w:r>
        <w:rPr>
          <w:noProof/>
          <w:lang w:val="en-US"/>
        </w:rPr>
        <w:drawing>
          <wp:inline distT="0" distB="0" distL="0" distR="0" wp14:anchorId="0FC25F80" wp14:editId="2ED6589D">
            <wp:extent cx="5734050" cy="87249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0FB9" w:rsidRDefault="00910FB9" w:rsidP="007312F7">
      <w:pPr>
        <w:jc w:val="both"/>
      </w:pPr>
    </w:p>
    <w:p w:rsidR="00910FB9" w:rsidRDefault="00910FB9" w:rsidP="007312F7">
      <w:pPr>
        <w:jc w:val="both"/>
      </w:pPr>
    </w:p>
    <w:p w:rsidR="00910FB9" w:rsidRDefault="00910FB9" w:rsidP="007312F7">
      <w:pPr>
        <w:jc w:val="both"/>
      </w:pPr>
    </w:p>
    <w:p w:rsidR="008F0C9C" w:rsidRDefault="00C54919" w:rsidP="007312F7">
      <w:pPr>
        <w:jc w:val="both"/>
      </w:pPr>
      <w:r>
        <w:lastRenderedPageBreak/>
        <w:t xml:space="preserve">Three countries (Egypt, Eritrea and Equatorial Guinea) </w:t>
      </w:r>
      <w:r w:rsidR="00E86BD8">
        <w:t xml:space="preserve">have </w:t>
      </w:r>
      <w:r>
        <w:t xml:space="preserve">attained </w:t>
      </w:r>
      <w:r w:rsidR="00E86BD8">
        <w:t>MDG5a</w:t>
      </w:r>
      <w:r w:rsidR="00666B22">
        <w:t>.</w:t>
      </w:r>
      <w:r>
        <w:t xml:space="preserve"> </w:t>
      </w:r>
      <w:r w:rsidR="00666B22">
        <w:t>W</w:t>
      </w:r>
      <w:r>
        <w:t>hereas</w:t>
      </w:r>
      <w:r w:rsidR="00666B22">
        <w:t xml:space="preserve"> </w:t>
      </w:r>
      <w:r>
        <w:t>Malawi, Cape Verde and Angola have made good progress in attaining</w:t>
      </w:r>
      <w:r w:rsidR="00666B22">
        <w:t xml:space="preserve"> </w:t>
      </w:r>
      <w:r w:rsidR="008B65F7">
        <w:t>MDG 5a targets</w:t>
      </w:r>
      <w:r w:rsidR="00193352">
        <w:t>.</w:t>
      </w:r>
      <w:r w:rsidR="00666B22">
        <w:t xml:space="preserve"> </w:t>
      </w:r>
      <w:r>
        <w:t>34</w:t>
      </w:r>
      <w:r w:rsidR="00666B22">
        <w:t xml:space="preserve"> </w:t>
      </w:r>
      <w:r>
        <w:t>Member States have managed to reduce the MMR by over 40% during this period. This illustrates the immense progress that has occurred in Africa over the last few decades.</w:t>
      </w:r>
    </w:p>
    <w:p w:rsidR="008F0C9C" w:rsidRDefault="008F0C9C" w:rsidP="007312F7">
      <w:pPr>
        <w:jc w:val="both"/>
      </w:pPr>
    </w:p>
    <w:p w:rsidR="004D0D6C" w:rsidRDefault="00C86355" w:rsidP="007312F7">
      <w:pPr>
        <w:jc w:val="both"/>
      </w:pPr>
      <w:r>
        <w:t>Table 4</w:t>
      </w:r>
      <w:r w:rsidR="00C33788">
        <w:t xml:space="preserve"> shows the </w:t>
      </w:r>
      <w:r w:rsidR="0092501A">
        <w:t xml:space="preserve">percentage change of the </w:t>
      </w:r>
      <w:r w:rsidR="00C33788">
        <w:t xml:space="preserve">MMR between 1990 – 2013. </w:t>
      </w:r>
    </w:p>
    <w:p w:rsidR="00C33788" w:rsidRDefault="00C33788" w:rsidP="007312F7">
      <w:pPr>
        <w:jc w:val="both"/>
      </w:pPr>
    </w:p>
    <w:p w:rsidR="00193352" w:rsidRPr="009562C3" w:rsidRDefault="00193352" w:rsidP="007312F7">
      <w:pPr>
        <w:pStyle w:val="Caption"/>
        <w:keepNext/>
        <w:jc w:val="both"/>
      </w:pPr>
      <w:bookmarkStart w:id="30" w:name="TOC408292358"/>
      <w:bookmarkStart w:id="31" w:name="_Toc411525271"/>
      <w:r>
        <w:t xml:space="preserve">Table </w:t>
      </w:r>
      <w:fldSimple w:instr=" SEQ Table \* ARABIC ">
        <w:r w:rsidR="00943DB0">
          <w:rPr>
            <w:noProof/>
          </w:rPr>
          <w:t>4</w:t>
        </w:r>
      </w:fldSimple>
      <w:r>
        <w:t>: Percentage Reduction of MMR</w:t>
      </w:r>
      <w:r w:rsidRPr="009562C3">
        <w:t xml:space="preserve"> from 1990</w:t>
      </w:r>
      <w:bookmarkEnd w:id="30"/>
      <w:bookmarkEnd w:id="31"/>
    </w:p>
    <w:tbl>
      <w:tblPr>
        <w:tblW w:w="8587" w:type="dxa"/>
        <w:tblInd w:w="108" w:type="dxa"/>
        <w:tblLook w:val="04A0" w:firstRow="1" w:lastRow="0" w:firstColumn="1" w:lastColumn="0" w:noHBand="0" w:noVBand="1"/>
      </w:tblPr>
      <w:tblGrid>
        <w:gridCol w:w="2312"/>
        <w:gridCol w:w="1207"/>
        <w:gridCol w:w="1206"/>
        <w:gridCol w:w="1206"/>
        <w:gridCol w:w="1206"/>
        <w:gridCol w:w="1450"/>
      </w:tblGrid>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562C3" w:rsidRDefault="0092501A" w:rsidP="007312F7">
            <w:pPr>
              <w:jc w:val="both"/>
              <w:rPr>
                <w:rFonts w:ascii="Arial" w:hAnsi="Arial"/>
                <w:sz w:val="20"/>
              </w:rPr>
            </w:pP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1990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2000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2010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2013</w:t>
            </w:r>
          </w:p>
        </w:tc>
        <w:tc>
          <w:tcPr>
            <w:tcW w:w="1450" w:type="dxa"/>
            <w:tcBorders>
              <w:top w:val="nil"/>
              <w:left w:val="nil"/>
              <w:bottom w:val="nil"/>
              <w:right w:val="nil"/>
            </w:tcBorders>
            <w:shd w:val="clear" w:color="auto" w:fill="auto"/>
            <w:noWrap/>
            <w:vAlign w:val="bottom"/>
            <w:hideMark/>
          </w:tcPr>
          <w:p w:rsidR="0092501A" w:rsidRPr="0092501A" w:rsidRDefault="00565BD9"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Percentage</w:t>
            </w:r>
            <w:r w:rsidR="0092501A" w:rsidRPr="0092501A">
              <w:rPr>
                <w:rFonts w:ascii="Arial" w:eastAsia="Times New Roman" w:hAnsi="Arial" w:cs="Arial"/>
                <w:sz w:val="20"/>
                <w:szCs w:val="20"/>
                <w:lang w:eastAsia="en-GB"/>
              </w:rPr>
              <w:t xml:space="preserve"> Change </w:t>
            </w:r>
            <w:r w:rsidR="009562C3">
              <w:rPr>
                <w:rFonts w:ascii="Arial" w:eastAsia="Times New Roman" w:hAnsi="Arial" w:cs="Arial"/>
                <w:sz w:val="20"/>
                <w:szCs w:val="20"/>
                <w:lang w:eastAsia="en-GB"/>
              </w:rPr>
              <w:t>in MMR from baseline</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Algeria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120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92</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89</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-44.4%</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Angola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1400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460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-67.1%</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Benin</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340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-43.3%</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Botswana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170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-52.8%</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Burkina Faso</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400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-48.1%</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Burundi</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1300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1000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820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740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-43.1%</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Cameroon</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720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590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-18.1%</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Cape Verde</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84</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58</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53</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-77.0%</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Central African Rep</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1200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1200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960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880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-26.7%</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Chad</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1700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1500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980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-42.4%</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Comoros</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350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-44.4%</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Congo</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410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-38.8%</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Djibouti</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230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-42.5%</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DRC</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1000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730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-27.0%</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Egypt</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120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75</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45</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-62.5%</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Equatorial Guinea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1600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290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-81.9%</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 xml:space="preserve">Eritrea </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1700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380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-77.6%</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Ethiopia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1400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990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420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-70.0%</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Gabon</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240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-36.8%</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Gambia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430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-39.4%</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Ghana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380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-50.0%</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Guinea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950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650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-40.9%</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Guinea-Bissau</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930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560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-39.8%</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Ivory Coast</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720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-2.7%</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Kenya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400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-18.4%</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Lesotho</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720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490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-31.9%</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Liberia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1200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640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-46.7%</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Libya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31</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21</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15</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15</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-51.6%</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Madagascar</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440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-40.5%</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Malawi</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510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-53.6%</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Mali</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550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-50.0%</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Mauritania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320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-49.2%</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Mauritius</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28</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72</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73</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4.3%</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Mozambique</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1300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540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480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-63.1%</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Namibia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320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270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130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-59.4%</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Niger</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1000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850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630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-37.0%</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Nigeria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1200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950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610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560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-53.3%</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Rwanda</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1400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1000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390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320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-77.1%</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B42935"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Sahrawi Arab Democratic Republic </w:t>
            </w:r>
          </w:p>
        </w:tc>
        <w:tc>
          <w:tcPr>
            <w:tcW w:w="1207" w:type="dxa"/>
            <w:tcBorders>
              <w:top w:val="nil"/>
              <w:left w:val="nil"/>
              <w:bottom w:val="nil"/>
              <w:right w:val="nil"/>
            </w:tcBorders>
            <w:shd w:val="clear" w:color="auto" w:fill="auto"/>
            <w:noWrap/>
            <w:vAlign w:val="bottom"/>
            <w:hideMark/>
          </w:tcPr>
          <w:p w:rsidR="0092501A" w:rsidRPr="009562C3" w:rsidRDefault="0092501A" w:rsidP="007312F7">
            <w:pPr>
              <w:jc w:val="both"/>
              <w:rPr>
                <w:rFonts w:ascii="Arial" w:hAnsi="Arial"/>
                <w:sz w:val="20"/>
              </w:rPr>
            </w:pPr>
          </w:p>
        </w:tc>
        <w:tc>
          <w:tcPr>
            <w:tcW w:w="1206" w:type="dxa"/>
            <w:tcBorders>
              <w:top w:val="nil"/>
              <w:left w:val="nil"/>
              <w:bottom w:val="nil"/>
              <w:right w:val="nil"/>
            </w:tcBorders>
            <w:shd w:val="clear" w:color="auto" w:fill="auto"/>
            <w:noWrap/>
            <w:vAlign w:val="bottom"/>
            <w:hideMark/>
          </w:tcPr>
          <w:p w:rsidR="0092501A" w:rsidRPr="009562C3" w:rsidRDefault="0092501A" w:rsidP="007312F7">
            <w:pPr>
              <w:jc w:val="both"/>
              <w:rPr>
                <w:rFonts w:ascii="Arial" w:hAnsi="Arial"/>
                <w:sz w:val="20"/>
              </w:rPr>
            </w:pPr>
          </w:p>
        </w:tc>
        <w:tc>
          <w:tcPr>
            <w:tcW w:w="1206" w:type="dxa"/>
            <w:tcBorders>
              <w:top w:val="nil"/>
              <w:left w:val="nil"/>
              <w:bottom w:val="nil"/>
              <w:right w:val="nil"/>
            </w:tcBorders>
            <w:shd w:val="clear" w:color="auto" w:fill="auto"/>
            <w:noWrap/>
            <w:vAlign w:val="bottom"/>
            <w:hideMark/>
          </w:tcPr>
          <w:p w:rsidR="0092501A" w:rsidRPr="009562C3" w:rsidRDefault="0092501A" w:rsidP="007312F7">
            <w:pPr>
              <w:jc w:val="both"/>
              <w:rPr>
                <w:rFonts w:ascii="Arial" w:hAnsi="Arial"/>
                <w:sz w:val="20"/>
              </w:rPr>
            </w:pPr>
          </w:p>
        </w:tc>
        <w:tc>
          <w:tcPr>
            <w:tcW w:w="1206" w:type="dxa"/>
            <w:tcBorders>
              <w:top w:val="nil"/>
              <w:left w:val="nil"/>
              <w:bottom w:val="nil"/>
              <w:right w:val="nil"/>
            </w:tcBorders>
            <w:shd w:val="clear" w:color="auto" w:fill="auto"/>
            <w:noWrap/>
            <w:vAlign w:val="bottom"/>
            <w:hideMark/>
          </w:tcPr>
          <w:p w:rsidR="0092501A" w:rsidRPr="009562C3" w:rsidRDefault="0092501A" w:rsidP="007312F7">
            <w:pPr>
              <w:jc w:val="both"/>
              <w:rPr>
                <w:rFonts w:ascii="Arial" w:hAnsi="Arial"/>
                <w:sz w:val="20"/>
              </w:rPr>
            </w:pPr>
          </w:p>
        </w:tc>
        <w:tc>
          <w:tcPr>
            <w:tcW w:w="1450" w:type="dxa"/>
            <w:tcBorders>
              <w:top w:val="nil"/>
              <w:left w:val="nil"/>
              <w:bottom w:val="nil"/>
              <w:right w:val="nil"/>
            </w:tcBorders>
            <w:shd w:val="clear" w:color="auto" w:fill="auto"/>
            <w:noWrap/>
            <w:vAlign w:val="bottom"/>
            <w:hideMark/>
          </w:tcPr>
          <w:p w:rsidR="0092501A" w:rsidRPr="0092501A" w:rsidRDefault="006836CA"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Data unavailable</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562C3" w:rsidRDefault="00B2555D" w:rsidP="007312F7">
            <w:pPr>
              <w:jc w:val="both"/>
              <w:rPr>
                <w:rFonts w:ascii="Arial" w:hAnsi="Arial"/>
                <w:sz w:val="20"/>
              </w:rPr>
            </w:pPr>
            <w:r>
              <w:rPr>
                <w:rFonts w:ascii="Arial" w:eastAsia="ヒラギノ角ゴ Pro W3" w:hAnsi="Arial"/>
                <w:color w:val="000000"/>
                <w:sz w:val="20"/>
                <w:lang w:val="en-US"/>
              </w:rPr>
              <w:t>São Tomé</w:t>
            </w:r>
            <w:r w:rsidR="00B42935" w:rsidRPr="009562C3">
              <w:rPr>
                <w:rFonts w:ascii="Arial" w:hAnsi="Arial"/>
                <w:sz w:val="20"/>
              </w:rPr>
              <w:t xml:space="preserve"> and</w:t>
            </w:r>
            <w:r w:rsidR="0092501A" w:rsidRPr="009562C3">
              <w:rPr>
                <w:rFonts w:ascii="Arial" w:hAnsi="Arial"/>
                <w:sz w:val="20"/>
              </w:rPr>
              <w:t xml:space="preserve"> </w:t>
            </w:r>
            <w:r>
              <w:rPr>
                <w:rFonts w:ascii="Arial" w:eastAsia="ヒラギノ角ゴ Pro W3" w:hAnsi="Arial"/>
                <w:color w:val="000000"/>
                <w:sz w:val="20"/>
                <w:lang w:val="en-US"/>
              </w:rPr>
              <w:t>Príncipe</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410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300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210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-48.8%</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Senegal</w:t>
            </w:r>
          </w:p>
        </w:tc>
        <w:tc>
          <w:tcPr>
            <w:tcW w:w="1207"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530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480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360</w:t>
            </w:r>
          </w:p>
        </w:tc>
        <w:tc>
          <w:tcPr>
            <w:tcW w:w="1206"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320</w:t>
            </w:r>
          </w:p>
        </w:tc>
        <w:tc>
          <w:tcPr>
            <w:tcW w:w="1450" w:type="dxa"/>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-39.6%</w:t>
            </w:r>
          </w:p>
        </w:tc>
      </w:tr>
      <w:tr w:rsidR="00B2555D" w:rsidRPr="0092501A" w:rsidTr="0092501A">
        <w:trPr>
          <w:trHeight w:val="254"/>
        </w:trPr>
        <w:tc>
          <w:tcPr>
            <w:tcW w:w="3519" w:type="dxa"/>
            <w:gridSpan w:val="2"/>
            <w:tcBorders>
              <w:top w:val="nil"/>
              <w:left w:val="nil"/>
              <w:bottom w:val="nil"/>
              <w:right w:val="nil"/>
            </w:tcBorders>
            <w:shd w:val="clear" w:color="auto" w:fill="auto"/>
            <w:noWrap/>
            <w:vAlign w:val="bottom"/>
            <w:hideMark/>
          </w:tcPr>
          <w:p w:rsidR="0092501A" w:rsidRPr="0092501A" w:rsidRDefault="0092501A" w:rsidP="007312F7">
            <w:pPr>
              <w:jc w:val="both"/>
              <w:rPr>
                <w:rFonts w:ascii="Arial" w:eastAsia="Times New Roman" w:hAnsi="Arial" w:cs="Arial"/>
                <w:sz w:val="20"/>
                <w:szCs w:val="20"/>
                <w:lang w:eastAsia="en-GB"/>
              </w:rPr>
            </w:pPr>
            <w:r w:rsidRPr="0092501A">
              <w:rPr>
                <w:rFonts w:ascii="Arial" w:eastAsia="Times New Roman" w:hAnsi="Arial" w:cs="Arial"/>
                <w:sz w:val="20"/>
                <w:szCs w:val="20"/>
                <w:lang w:eastAsia="en-GB"/>
              </w:rPr>
              <w:t>Seychelles</w:t>
            </w:r>
          </w:p>
        </w:tc>
        <w:tc>
          <w:tcPr>
            <w:tcW w:w="1206" w:type="dxa"/>
            <w:tcBorders>
              <w:top w:val="nil"/>
              <w:left w:val="nil"/>
              <w:bottom w:val="nil"/>
              <w:right w:val="nil"/>
            </w:tcBorders>
            <w:shd w:val="clear" w:color="auto" w:fill="auto"/>
            <w:noWrap/>
            <w:vAlign w:val="bottom"/>
            <w:hideMark/>
          </w:tcPr>
          <w:p w:rsidR="0092501A" w:rsidRPr="00201C1A" w:rsidRDefault="0092501A" w:rsidP="007312F7">
            <w:pPr>
              <w:jc w:val="both"/>
              <w:rPr>
                <w:rFonts w:ascii="Arial" w:hAnsi="Arial"/>
                <w:sz w:val="20"/>
              </w:rPr>
            </w:pPr>
          </w:p>
        </w:tc>
        <w:tc>
          <w:tcPr>
            <w:tcW w:w="1206" w:type="dxa"/>
            <w:tcBorders>
              <w:top w:val="nil"/>
              <w:left w:val="nil"/>
              <w:bottom w:val="nil"/>
              <w:right w:val="nil"/>
            </w:tcBorders>
            <w:shd w:val="clear" w:color="auto" w:fill="auto"/>
            <w:noWrap/>
            <w:vAlign w:val="bottom"/>
            <w:hideMark/>
          </w:tcPr>
          <w:p w:rsidR="0092501A" w:rsidRPr="00201C1A" w:rsidRDefault="0092501A" w:rsidP="007312F7">
            <w:pPr>
              <w:jc w:val="both"/>
              <w:rPr>
                <w:rFonts w:ascii="Arial" w:hAnsi="Arial"/>
                <w:sz w:val="20"/>
              </w:rPr>
            </w:pPr>
          </w:p>
        </w:tc>
        <w:tc>
          <w:tcPr>
            <w:tcW w:w="1206" w:type="dxa"/>
            <w:tcBorders>
              <w:top w:val="nil"/>
              <w:left w:val="nil"/>
              <w:bottom w:val="nil"/>
              <w:right w:val="nil"/>
            </w:tcBorders>
            <w:shd w:val="clear" w:color="auto" w:fill="auto"/>
            <w:noWrap/>
            <w:vAlign w:val="bottom"/>
            <w:hideMark/>
          </w:tcPr>
          <w:p w:rsidR="0092501A" w:rsidRPr="00201C1A" w:rsidRDefault="0092501A" w:rsidP="007312F7">
            <w:pPr>
              <w:jc w:val="both"/>
              <w:rPr>
                <w:rFonts w:ascii="Arial" w:hAnsi="Arial"/>
                <w:sz w:val="20"/>
              </w:rPr>
            </w:pPr>
          </w:p>
        </w:tc>
        <w:tc>
          <w:tcPr>
            <w:tcW w:w="1450" w:type="dxa"/>
            <w:tcBorders>
              <w:top w:val="nil"/>
              <w:left w:val="nil"/>
              <w:bottom w:val="nil"/>
              <w:right w:val="nil"/>
            </w:tcBorders>
            <w:shd w:val="clear" w:color="auto" w:fill="auto"/>
            <w:noWrap/>
            <w:vAlign w:val="bottom"/>
            <w:hideMark/>
          </w:tcPr>
          <w:p w:rsidR="0092501A" w:rsidRPr="0092501A" w:rsidRDefault="006836CA"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Data </w:t>
            </w:r>
            <w:r>
              <w:rPr>
                <w:rFonts w:ascii="Arial" w:eastAsia="Times New Roman" w:hAnsi="Arial" w:cs="Arial"/>
                <w:sz w:val="20"/>
                <w:szCs w:val="20"/>
                <w:lang w:eastAsia="en-GB"/>
              </w:rPr>
              <w:lastRenderedPageBreak/>
              <w:t>unavailable</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lastRenderedPageBreak/>
              <w:t>Sierra Leone</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2300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2200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1200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1100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-52.2%</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Somalia</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1300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1200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930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850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-34.6%</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South Africa</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150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150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140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140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-6.7%</w:t>
            </w:r>
          </w:p>
        </w:tc>
      </w:tr>
      <w:tr w:rsidR="00B2555D" w:rsidRPr="0092501A" w:rsidTr="00193352">
        <w:trPr>
          <w:trHeight w:val="299"/>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South Sudan</w:t>
            </w:r>
          </w:p>
        </w:tc>
        <w:tc>
          <w:tcPr>
            <w:tcW w:w="1207"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1800</w:t>
            </w:r>
          </w:p>
        </w:tc>
        <w:tc>
          <w:tcPr>
            <w:tcW w:w="1206"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1200</w:t>
            </w:r>
          </w:p>
        </w:tc>
        <w:tc>
          <w:tcPr>
            <w:tcW w:w="1206"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830</w:t>
            </w:r>
          </w:p>
        </w:tc>
        <w:tc>
          <w:tcPr>
            <w:tcW w:w="1206"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730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-59.4%</w:t>
            </w:r>
          </w:p>
        </w:tc>
      </w:tr>
      <w:tr w:rsidR="00B2555D" w:rsidRPr="0092501A" w:rsidTr="00193352">
        <w:trPr>
          <w:trHeight w:val="299"/>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Sudan</w:t>
            </w:r>
          </w:p>
        </w:tc>
        <w:tc>
          <w:tcPr>
            <w:tcW w:w="1207"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720</w:t>
            </w:r>
          </w:p>
        </w:tc>
        <w:tc>
          <w:tcPr>
            <w:tcW w:w="1206"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540</w:t>
            </w:r>
          </w:p>
        </w:tc>
        <w:tc>
          <w:tcPr>
            <w:tcW w:w="1206"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390</w:t>
            </w:r>
          </w:p>
        </w:tc>
        <w:tc>
          <w:tcPr>
            <w:tcW w:w="1206" w:type="dxa"/>
            <w:tcBorders>
              <w:top w:val="nil"/>
              <w:left w:val="nil"/>
              <w:bottom w:val="nil"/>
              <w:right w:val="nil"/>
            </w:tcBorders>
            <w:shd w:val="clear" w:color="auto" w:fill="auto"/>
            <w:noWrap/>
            <w:vAlign w:val="bottom"/>
            <w:hideMark/>
          </w:tcPr>
          <w:p w:rsidR="0092501A" w:rsidRPr="009562C3" w:rsidRDefault="0092501A" w:rsidP="0092501A">
            <w:pPr>
              <w:jc w:val="right"/>
              <w:rPr>
                <w:rFonts w:ascii="Calibri" w:hAnsi="Calibri"/>
              </w:rPr>
            </w:pPr>
            <w:r w:rsidRPr="009562C3">
              <w:rPr>
                <w:rFonts w:ascii="Calibri" w:hAnsi="Calibri"/>
              </w:rPr>
              <w:t>360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-50.0%</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Swaziland</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550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520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350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310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-43.6%</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Tanzania</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910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770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460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410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-54.9%</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Togo</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660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580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480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450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-31.8%</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Tunisia</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91</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65</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48</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46</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-49.5%</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Uganda</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780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650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410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360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-53.8%</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Zambia</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580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610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320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280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-51.7%</w:t>
            </w:r>
          </w:p>
        </w:tc>
      </w:tr>
      <w:tr w:rsidR="00B2555D" w:rsidRPr="0092501A" w:rsidTr="00193352">
        <w:trPr>
          <w:trHeight w:val="254"/>
        </w:trPr>
        <w:tc>
          <w:tcPr>
            <w:tcW w:w="2312" w:type="dxa"/>
            <w:tcBorders>
              <w:top w:val="nil"/>
              <w:left w:val="nil"/>
              <w:bottom w:val="nil"/>
              <w:right w:val="nil"/>
            </w:tcBorders>
            <w:shd w:val="clear" w:color="auto" w:fill="auto"/>
            <w:noWrap/>
            <w:vAlign w:val="bottom"/>
            <w:hideMark/>
          </w:tcPr>
          <w:p w:rsidR="0092501A" w:rsidRPr="0092501A" w:rsidRDefault="0092501A" w:rsidP="0092501A">
            <w:pPr>
              <w:rPr>
                <w:rFonts w:ascii="Arial" w:eastAsia="Times New Roman" w:hAnsi="Arial" w:cs="Arial"/>
                <w:sz w:val="20"/>
                <w:szCs w:val="20"/>
                <w:lang w:eastAsia="en-GB"/>
              </w:rPr>
            </w:pPr>
            <w:r w:rsidRPr="0092501A">
              <w:rPr>
                <w:rFonts w:ascii="Arial" w:eastAsia="Times New Roman" w:hAnsi="Arial" w:cs="Arial"/>
                <w:sz w:val="20"/>
                <w:szCs w:val="20"/>
                <w:lang w:eastAsia="en-GB"/>
              </w:rPr>
              <w:t>Zimbabwe</w:t>
            </w:r>
          </w:p>
        </w:tc>
        <w:tc>
          <w:tcPr>
            <w:tcW w:w="1207"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520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680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610</w:t>
            </w:r>
          </w:p>
        </w:tc>
        <w:tc>
          <w:tcPr>
            <w:tcW w:w="1206"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470</w:t>
            </w:r>
          </w:p>
        </w:tc>
        <w:tc>
          <w:tcPr>
            <w:tcW w:w="1450" w:type="dxa"/>
            <w:tcBorders>
              <w:top w:val="nil"/>
              <w:left w:val="nil"/>
              <w:bottom w:val="nil"/>
              <w:right w:val="nil"/>
            </w:tcBorders>
            <w:shd w:val="clear" w:color="auto" w:fill="auto"/>
            <w:noWrap/>
            <w:vAlign w:val="bottom"/>
            <w:hideMark/>
          </w:tcPr>
          <w:p w:rsidR="0092501A" w:rsidRPr="0092501A" w:rsidRDefault="0092501A" w:rsidP="0092501A">
            <w:pPr>
              <w:jc w:val="right"/>
              <w:rPr>
                <w:rFonts w:ascii="Arial" w:eastAsia="Times New Roman" w:hAnsi="Arial" w:cs="Arial"/>
                <w:sz w:val="20"/>
                <w:szCs w:val="20"/>
                <w:lang w:eastAsia="en-GB"/>
              </w:rPr>
            </w:pPr>
            <w:r w:rsidRPr="0092501A">
              <w:rPr>
                <w:rFonts w:ascii="Arial" w:eastAsia="Times New Roman" w:hAnsi="Arial" w:cs="Arial"/>
                <w:sz w:val="20"/>
                <w:szCs w:val="20"/>
                <w:lang w:eastAsia="en-GB"/>
              </w:rPr>
              <w:t>-9.6%</w:t>
            </w:r>
          </w:p>
        </w:tc>
      </w:tr>
    </w:tbl>
    <w:p w:rsidR="0092501A" w:rsidRDefault="0092501A" w:rsidP="009562C3"/>
    <w:p w:rsidR="0092501A" w:rsidRDefault="0092501A" w:rsidP="00A27B67"/>
    <w:p w:rsidR="00EC7D6F" w:rsidRDefault="00C33788" w:rsidP="007312F7">
      <w:pPr>
        <w:jc w:val="both"/>
      </w:pPr>
      <w:r>
        <w:t xml:space="preserve">One of the </w:t>
      </w:r>
      <w:r w:rsidR="00C54919">
        <w:t>contributing factors</w:t>
      </w:r>
      <w:r w:rsidR="0072715C">
        <w:t xml:space="preserve"> </w:t>
      </w:r>
      <w:r w:rsidR="00113E7B">
        <w:t xml:space="preserve">to </w:t>
      </w:r>
      <w:r>
        <w:t xml:space="preserve">Africa’s high maternal mortality is </w:t>
      </w:r>
      <w:r w:rsidR="00113E7B">
        <w:t xml:space="preserve">the </w:t>
      </w:r>
      <w:r w:rsidR="00C54919">
        <w:t>low</w:t>
      </w:r>
      <w:r w:rsidR="0072715C">
        <w:t xml:space="preserve"> utilisation of </w:t>
      </w:r>
      <w:r w:rsidR="00C54919">
        <w:t xml:space="preserve">skilled birth </w:t>
      </w:r>
      <w:r w:rsidR="00B2555D">
        <w:t>attendance</w:t>
      </w:r>
      <w:r>
        <w:t xml:space="preserve">. The lack of skilled birth attendants contributes to more than 2 million maternal, stillbirth and newborn deaths each year worldwide. In 2013, only 7 countries </w:t>
      </w:r>
      <w:r w:rsidR="00113E7B">
        <w:t xml:space="preserve">in Africa </w:t>
      </w:r>
      <w:r>
        <w:t xml:space="preserve">reported that more than 90 percent of births were attended by a skilled health professional. </w:t>
      </w:r>
      <w:r w:rsidR="00113E7B">
        <w:t>In</w:t>
      </w:r>
      <w:r w:rsidR="00154D2F">
        <w:t xml:space="preserve"> 16</w:t>
      </w:r>
      <w:r>
        <w:t xml:space="preserve"> countries</w:t>
      </w:r>
      <w:r w:rsidR="00113E7B">
        <w:t>,</w:t>
      </w:r>
      <w:r w:rsidR="0072715C">
        <w:t xml:space="preserve"> </w:t>
      </w:r>
      <w:r>
        <w:t xml:space="preserve">less than half of births were attended by skilled health personnel. It is estimated that at least 80 per cent of births need to be attended by an adequately equipped and skilled birth attendant to reach the </w:t>
      </w:r>
      <w:r w:rsidR="00A67EBA">
        <w:t>MDG</w:t>
      </w:r>
      <w:r>
        <w:t xml:space="preserve"> 5 target. </w:t>
      </w:r>
      <w:r w:rsidR="00EC7D6F">
        <w:t>Graph 7 shows the number of African countries and the average coverage of skilled birth attendants; in 2013, 16  member states had more at least 75% of births attended by skilled health workers.</w:t>
      </w:r>
    </w:p>
    <w:p w:rsidR="00EC7D6F" w:rsidRDefault="00EC7D6F" w:rsidP="007312F7">
      <w:pPr>
        <w:jc w:val="both"/>
      </w:pPr>
    </w:p>
    <w:p w:rsidR="00EC7D6F" w:rsidRDefault="00EC7D6F" w:rsidP="007312F7">
      <w:pPr>
        <w:pStyle w:val="Caption"/>
        <w:keepNext/>
        <w:jc w:val="both"/>
      </w:pPr>
      <w:bookmarkStart w:id="32" w:name="_Toc411525285"/>
      <w:r>
        <w:t xml:space="preserve">Graph </w:t>
      </w:r>
      <w:fldSimple w:instr=" SEQ Graph \* ARABIC ">
        <w:r w:rsidR="00641459">
          <w:rPr>
            <w:noProof/>
          </w:rPr>
          <w:t>5</w:t>
        </w:r>
      </w:fldSimple>
      <w:r>
        <w:t>: Status of Skilled Delivery in Africa</w:t>
      </w:r>
      <w:bookmarkEnd w:id="32"/>
    </w:p>
    <w:p w:rsidR="00EC7D6F" w:rsidRDefault="00EC7D6F" w:rsidP="007312F7">
      <w:pPr>
        <w:jc w:val="both"/>
      </w:pPr>
      <w:r>
        <w:rPr>
          <w:noProof/>
          <w:lang w:val="en-US"/>
        </w:rPr>
        <w:drawing>
          <wp:inline distT="0" distB="0" distL="0" distR="0" wp14:anchorId="701251D4" wp14:editId="09DA2735">
            <wp:extent cx="5056604" cy="2743200"/>
            <wp:effectExtent l="0" t="0" r="10795" b="1905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C7D6F" w:rsidRDefault="00EC7D6F" w:rsidP="007312F7">
      <w:pPr>
        <w:jc w:val="both"/>
      </w:pPr>
    </w:p>
    <w:p w:rsidR="008F0C9C" w:rsidRDefault="0005182D" w:rsidP="007312F7">
      <w:pPr>
        <w:jc w:val="both"/>
      </w:pPr>
      <w:r>
        <w:t xml:space="preserve">There has been a steady increase in the number of deliveries by skilled birth attendants in Africa, but this has not been rising significantly over the years. </w:t>
      </w:r>
    </w:p>
    <w:p w:rsidR="004B6D5B" w:rsidRDefault="004B6D5B" w:rsidP="007312F7">
      <w:pPr>
        <w:pStyle w:val="Heading2"/>
        <w:jc w:val="both"/>
      </w:pPr>
      <w:bookmarkStart w:id="33" w:name="TOC408286190"/>
      <w:bookmarkStart w:id="34" w:name="_TOC44935"/>
      <w:bookmarkStart w:id="35" w:name="_Toc411525478"/>
      <w:bookmarkEnd w:id="33"/>
      <w:bookmarkEnd w:id="34"/>
      <w:r>
        <w:t>Antenatal Care</w:t>
      </w:r>
      <w:bookmarkEnd w:id="35"/>
    </w:p>
    <w:p w:rsidR="00D260AB" w:rsidRDefault="00113E7B" w:rsidP="007312F7">
      <w:pPr>
        <w:jc w:val="both"/>
      </w:pPr>
      <w:r>
        <w:t>A</w:t>
      </w:r>
      <w:r w:rsidR="004B6D5B">
        <w:t xml:space="preserve">ntenatal care is one of the key strategies in the reduction of maternal deaths. Focused antenatal care can assist in determining gestational age, </w:t>
      </w:r>
      <w:r w:rsidR="00B2555D">
        <w:t>identifying</w:t>
      </w:r>
      <w:r w:rsidR="004B6D5B">
        <w:t xml:space="preserve"> high risk pregnancies, </w:t>
      </w:r>
      <w:r w:rsidR="00B2555D">
        <w:t>detecting</w:t>
      </w:r>
      <w:r w:rsidR="004B6D5B">
        <w:t xml:space="preserve"> and </w:t>
      </w:r>
      <w:r w:rsidR="00B2555D">
        <w:t>monitoring</w:t>
      </w:r>
      <w:r w:rsidR="004B6D5B">
        <w:t xml:space="preserve"> pregnancy related hypertension, </w:t>
      </w:r>
      <w:r w:rsidR="00B2555D">
        <w:t>assessing</w:t>
      </w:r>
      <w:r w:rsidR="009F60F8">
        <w:t xml:space="preserve"> </w:t>
      </w:r>
      <w:r w:rsidR="004B6D5B">
        <w:t xml:space="preserve">foetal </w:t>
      </w:r>
      <w:r w:rsidR="009F60F8">
        <w:t>wellbeing</w:t>
      </w:r>
      <w:r w:rsidR="004B6D5B">
        <w:t xml:space="preserve">, and </w:t>
      </w:r>
      <w:r w:rsidR="000E1634">
        <w:t xml:space="preserve">can also promote mother’s awareness </w:t>
      </w:r>
      <w:r w:rsidR="004B6D5B">
        <w:t>and increase acceptability of skilled birth attendance.</w:t>
      </w:r>
      <w:r w:rsidR="002C459C">
        <w:t xml:space="preserve"> Antenatal care also plays a key role in elimination of mother to child transmission of HIV, which is a contributing factor to both child and maternal deaths. </w:t>
      </w:r>
      <w:r w:rsidR="000E1634">
        <w:t xml:space="preserve">It is recommended that </w:t>
      </w:r>
      <w:r w:rsidR="00F60B90">
        <w:t xml:space="preserve">for antenatal </w:t>
      </w:r>
      <w:r w:rsidR="00F60B90">
        <w:lastRenderedPageBreak/>
        <w:t>care to be more cost effective, at le</w:t>
      </w:r>
      <w:r w:rsidR="00537E9E">
        <w:t>ast four antenatal visits during the pregnancy</w:t>
      </w:r>
      <w:r w:rsidR="00EC721C">
        <w:t xml:space="preserve"> are needed</w:t>
      </w:r>
      <w:r w:rsidR="00373FF7">
        <w:fldChar w:fldCharType="begin" w:fldLock="1"/>
      </w:r>
      <w:r w:rsidR="00B56F2B">
        <w:instrText>ADDIN CSL_CITATION { "citationItems" : [ { "id" : "ITEM-1", "itemData" : { "author" : [ { "dropping-particle" : "", "family" : "World Health Organisation", "given" : "", "non-dropping-particle" : "", "parse-names" : false, "suffix" : "" } ], "id" : "ITEM-1", "issued" : { "date-parts" : [ [ "2001" ] ] }, "title" : "WHO antenatal care randomized trial. Manual for the implementation of the new model", "type" : "report" }, "uris" : [ "http://www.mendeley.com/documents/?uuid=e0ad563b-3eec-467d-bf6f-956f47308d14" ] } ], "mendeley" : { "formattedCitation" : "&lt;sup&gt;11&lt;/sup&gt;", "plainTextFormattedCitation" : "11", "previouslyFormattedCitation" : "&lt;sup&gt;11&lt;/sup&gt;" }, "properties" : { "noteIndex" : 0 }, "schema" : "https://github.com/citation-style-language/schema/raw/master/csl-citation.json" }</w:instrText>
      </w:r>
      <w:r w:rsidR="00373FF7">
        <w:fldChar w:fldCharType="separate"/>
      </w:r>
      <w:r w:rsidR="007D14FF" w:rsidRPr="007D14FF">
        <w:rPr>
          <w:noProof/>
          <w:vertAlign w:val="superscript"/>
        </w:rPr>
        <w:t>11</w:t>
      </w:r>
      <w:r w:rsidR="00373FF7">
        <w:fldChar w:fldCharType="end"/>
      </w:r>
      <w:r w:rsidR="00F17654">
        <w:t xml:space="preserve">. Across </w:t>
      </w:r>
      <w:r w:rsidR="00537E9E">
        <w:t>Africa</w:t>
      </w:r>
      <w:r w:rsidR="00F17654">
        <w:t xml:space="preserve"> South of the Sahara</w:t>
      </w:r>
      <w:r w:rsidR="00537E9E">
        <w:t>, nearly 69% of pregnant women attend at least one antenatal visit. The percentage of women who attend all four recommended visits, however, falls considerably to 44%</w:t>
      </w:r>
      <w:r w:rsidR="00EC721C">
        <w:t xml:space="preserve">. </w:t>
      </w:r>
      <w:r w:rsidR="0005182D">
        <w:t>Therefore,</w:t>
      </w:r>
      <w:r w:rsidR="00E37258">
        <w:t xml:space="preserve"> </w:t>
      </w:r>
      <w:r w:rsidR="00345B91">
        <w:t>considerably more than half of pregnant women are not getting the full</w:t>
      </w:r>
      <w:r w:rsidR="00AF44F9">
        <w:t xml:space="preserve"> benefits</w:t>
      </w:r>
      <w:r w:rsidR="00345B91">
        <w:t xml:space="preserve"> of antenatal care.</w:t>
      </w:r>
      <w:r w:rsidR="002C459C">
        <w:t xml:space="preserve"> </w:t>
      </w:r>
      <w:r w:rsidR="00AF44F9">
        <w:t>This calls for s</w:t>
      </w:r>
      <w:r w:rsidR="00D260AB">
        <w:t xml:space="preserve">trategies to </w:t>
      </w:r>
      <w:r>
        <w:t>increase antenatal attendance</w:t>
      </w:r>
      <w:r w:rsidR="00D260AB">
        <w:t xml:space="preserve"> to</w:t>
      </w:r>
      <w:r w:rsidR="00A44B2D">
        <w:t xml:space="preserve"> be</w:t>
      </w:r>
      <w:r w:rsidR="00D260AB">
        <w:t xml:space="preserve"> put in place in order to reduce the number of preventable maternal deaths on the continent.</w:t>
      </w:r>
      <w:r w:rsidR="00E37258">
        <w:t xml:space="preserve"> The use of strategies that integrate and combine reproductive health, HIV and family planning can be most effective.</w:t>
      </w:r>
    </w:p>
    <w:p w:rsidR="00D260AB" w:rsidRDefault="00D260AB" w:rsidP="007312F7">
      <w:pPr>
        <w:jc w:val="both"/>
      </w:pPr>
    </w:p>
    <w:p w:rsidR="00D260AB" w:rsidRDefault="00D260AB" w:rsidP="007312F7">
      <w:pPr>
        <w:jc w:val="both"/>
      </w:pPr>
      <w:r>
        <w:t>Antenatal care services should be free of charge, planned and implemented with</w:t>
      </w:r>
      <w:r w:rsidR="00AF44F9">
        <w:t xml:space="preserve"> full involvement of the </w:t>
      </w:r>
      <w:r>
        <w:t>community</w:t>
      </w:r>
      <w:r w:rsidR="00A44B2D">
        <w:t xml:space="preserve"> </w:t>
      </w:r>
      <w:r>
        <w:t xml:space="preserve">and should </w:t>
      </w:r>
      <w:r w:rsidR="00AF44F9">
        <w:t xml:space="preserve">strive to give high </w:t>
      </w:r>
      <w:r>
        <w:t xml:space="preserve">quality </w:t>
      </w:r>
      <w:r w:rsidR="00913D40">
        <w:t xml:space="preserve">services </w:t>
      </w:r>
      <w:r w:rsidR="00373FF7">
        <w:fldChar w:fldCharType="begin" w:fldLock="1"/>
      </w:r>
      <w:r w:rsidR="00B56F2B">
        <w:instrText>ADDIN CSL_CITATION { "citationItems" : [ { "id" : "ITEM-1", "itemData" : { "PMID" : "16364704", "abstract" : "In developed countries, 98% of all women receive prenatal care and 94% give birth under the supervision of skilled healthcare practitioners with timely access to appropriate emergency treatment if complications arise. In contrast, large numbers of pregnant women in Africa and Asia do not receive adequate prenatal care and lack skilled attendance at birth. In developing countries quality of prenatal care is often scarce: models of care adopted in the western world and exported to the developing world have not been monitored early enough to discover their weak points promptly. This blind attitude has transformed antenatal care into an empty and useless ritual, and explains why antenatal care programmes continue to be unsuccessful, being inappropriate to the specific situation. A mix of educational and cultural factors together with persistent lack of resources in a global critical situation all contribute to the poor results of antenatal care programmes. Antenatal care services should be free of charge, planned and implemented within the community, cost-effective, and should yield evidence-based quality care. They should also include information for the patient and family members, provide affordable treatment of existing conditions, and warrant referral for complications. ?? 2005 Elsevier Ltd. All rights reserved.", "author" : [ { "dropping-particle" : "", "family" : "Zanconato", "given" : "Giovanni", "non-dropping-particle" : "", "parse-names" : false, "suffix" : "" }, { "dropping-particle" : "", "family" : "Msolomba", "given" : "Regina", "non-dropping-particle" : "", "parse-names" : false, "suffix" : "" }, { "dropping-particle" : "", "family" : "Guarenti", "given" : "Laura", "non-dropping-particle" : "", "parse-names" : false, "suffix" : "" }, { "dropping-particle" : "", "family" : "Franchi", "given" : "Massimo", "non-dropping-particle" : "", "parse-names" : false, "suffix" : "" } ], "container-title" : "Seminars in Fetal and Neonatal Medicine", "id" : "ITEM-1", "issue" : "1", "issued" : { "date-parts" : [ [ "2006" ] ] }, "page" : "15-20", "title" : "Antenatal care in developing countries: The need for a tailored model", "type" : "article", "volume" : "11" }, "uris" : [ "http://www.mendeley.com/documents/?uuid=ab6c4bf9-f9ad-4de5-bc8a-100aea663a11" ] } ], "mendeley" : { "formattedCitation" : "&lt;sup&gt;12&lt;/sup&gt;", "plainTextFormattedCitation" : "12", "previouslyFormattedCitation" : "&lt;sup&gt;12&lt;/sup&gt;" }, "properties" : { "noteIndex" : 0 }, "schema" : "https://github.com/citation-style-language/schema/raw/master/csl-citation.json" }</w:instrText>
      </w:r>
      <w:r w:rsidR="00373FF7">
        <w:fldChar w:fldCharType="separate"/>
      </w:r>
      <w:r w:rsidR="007D14FF" w:rsidRPr="007D14FF">
        <w:rPr>
          <w:noProof/>
          <w:vertAlign w:val="superscript"/>
        </w:rPr>
        <w:t>12</w:t>
      </w:r>
      <w:r w:rsidR="00373FF7">
        <w:fldChar w:fldCharType="end"/>
      </w:r>
      <w:r>
        <w:t xml:space="preserve">. Antenatal Care services can be vital in including information for the patient and family members, providing affordable treatment of existing conditions, and as a conduit for referral for complications. </w:t>
      </w:r>
      <w:r w:rsidR="00913D40">
        <w:t>A</w:t>
      </w:r>
      <w:r>
        <w:t xml:space="preserve">ntenatal care services </w:t>
      </w:r>
      <w:r w:rsidR="00913D40">
        <w:t xml:space="preserve">should </w:t>
      </w:r>
      <w:r>
        <w:t>be integrated with other services including HIV counselling and testing</w:t>
      </w:r>
      <w:r w:rsidR="00A44B2D">
        <w:t xml:space="preserve">; </w:t>
      </w:r>
      <w:r>
        <w:t>and general health screening to provide more cost effective services.</w:t>
      </w:r>
      <w:r w:rsidR="00913D40" w:rsidRPr="00913D40">
        <w:t xml:space="preserve"> </w:t>
      </w:r>
      <w:r w:rsidR="00913D40">
        <w:t>Male involvement is critical in increasing access</w:t>
      </w:r>
      <w:r w:rsidR="00913D40" w:rsidRPr="00913D40">
        <w:t xml:space="preserve"> </w:t>
      </w:r>
      <w:r w:rsidR="00913D40">
        <w:t>to antenatal services.</w:t>
      </w:r>
    </w:p>
    <w:p w:rsidR="00D5469B" w:rsidRDefault="00D5469B" w:rsidP="007312F7">
      <w:pPr>
        <w:pStyle w:val="Heading1"/>
        <w:jc w:val="both"/>
      </w:pPr>
      <w:bookmarkStart w:id="36" w:name="_TOC46487"/>
      <w:bookmarkStart w:id="37" w:name="_TOC52618"/>
      <w:bookmarkStart w:id="38" w:name="_Toc411525479"/>
      <w:bookmarkEnd w:id="36"/>
      <w:bookmarkEnd w:id="37"/>
      <w:r>
        <w:t>S</w:t>
      </w:r>
      <w:r w:rsidR="000C32F0">
        <w:t>exual and Reproductive Health and Rights</w:t>
      </w:r>
      <w:bookmarkEnd w:id="38"/>
    </w:p>
    <w:p w:rsidR="00D5469B" w:rsidRPr="00D5469B" w:rsidRDefault="00A61B62" w:rsidP="007312F7">
      <w:pPr>
        <w:jc w:val="both"/>
      </w:pPr>
      <w:r>
        <w:t>S</w:t>
      </w:r>
      <w:r w:rsidR="000C32F0">
        <w:t>RHR</w:t>
      </w:r>
      <w:r>
        <w:t xml:space="preserve"> are critical for the attainment of maternal and child health in Africa. SRHR is intrinsically entwined with maternal and child </w:t>
      </w:r>
      <w:r w:rsidR="00E30E9D">
        <w:t>health</w:t>
      </w:r>
      <w:r>
        <w:t xml:space="preserve"> and consideration of these issues will contribute to the </w:t>
      </w:r>
      <w:r w:rsidR="00AB5EFC">
        <w:t xml:space="preserve">improvement </w:t>
      </w:r>
      <w:r>
        <w:t>of maternal and child health.</w:t>
      </w:r>
    </w:p>
    <w:p w:rsidR="00964C4C" w:rsidRDefault="00964C4C" w:rsidP="007312F7">
      <w:pPr>
        <w:pStyle w:val="Heading2"/>
        <w:jc w:val="both"/>
      </w:pPr>
      <w:bookmarkStart w:id="39" w:name="_TOC52930"/>
      <w:bookmarkStart w:id="40" w:name="_Toc411525480"/>
      <w:bookmarkEnd w:id="39"/>
      <w:r>
        <w:t>Family Planning</w:t>
      </w:r>
      <w:bookmarkEnd w:id="40"/>
    </w:p>
    <w:p w:rsidR="00964C4C" w:rsidRDefault="00964C4C" w:rsidP="007312F7">
      <w:pPr>
        <w:jc w:val="both"/>
      </w:pPr>
      <w:r>
        <w:t>Family planning is a potent tool in the reduction of maternal death, improvin</w:t>
      </w:r>
      <w:r w:rsidR="00383C18">
        <w:t>g</w:t>
      </w:r>
      <w:r>
        <w:t xml:space="preserve"> child health and empowering women. </w:t>
      </w:r>
      <w:r w:rsidR="00383C18">
        <w:t xml:space="preserve">Promotion of family planning in countries with high birth rates has the potential to reduce poverty and hunger and avert 32% of all maternal deaths and nearly 10% of childhood deaths </w:t>
      </w:r>
      <w:r w:rsidR="00373FF7">
        <w:fldChar w:fldCharType="begin" w:fldLock="1"/>
      </w:r>
      <w:r w:rsidR="00B56F2B">
        <w:instrText>ADDIN CSL_CITATION { "citationItems" : [ { "id" : "ITEM-1", "itemData" : { "PMID" : "17113431", "abstract" : "Promotion of family planning in countries with high birth rates has the potential to reduce poverty and hunger and avert 32% of all maternal deaths and nearly 10% of childhood deaths. It would also contribute substantially to women's empowerment, achievement of universal primary schooling, and long-term environmental sustainability. In the past 40 years, family-planning programmes have played a major part in raising the prevalence of contraceptive practice from less than 10% to 60% and reducing fertility in developing countries from six to about three births per woman. However, in half the 75 larger low-income and lower-middle income countries (mainly in Africa), contraceptive practice remains low and fertility, population growth, and unmet need for family planning are high. The cross-cutting contribution to the achievement of the Millennium Development Goals makes greater investment in family planning in these countries compelling. Despite the size of this unfinished agenda, international funding and promotion of family planning has waned in the past decade. A revitalisation of the agenda is urgently needed. Historically, the USA has taken the lead but other governments or agencies are now needed as champions. Based on the sizeable experience of past decades, the key features of effective programmes are clearly established. Most governments of poor countries already have appropriate population and family-planning policies but are receiving too little international encouragement and funding to implement them with vigour. What is currently missing is political willingness to incorporate family planning into the development arena. ?? 2006 Elsevier Ltd. All rights reserved.", "author" : [ { "dropping-particle" : "", "family" : "Cleland", "given" : "John", "non-dropping-particle" : "", "parse-names" : false, "suffix" : "" }, { "dropping-particle" : "", "family" : "Bernstein", "given" : "Stan", "non-dropping-particle" : "", "parse-names" : false, "suffix" : "" }, { "dropping-particle" : "", "family" : "Ezeh", "given" : "Alex", "non-dropping-particle" : "", "parse-names" : false, "suffix" : "" }, { "dropping-particle" : "", "family" : "Faundes", "given" : "Anibal", "non-dropping-particle" : "", "parse-names" : false, "suffix" : "" }, { "dropping-particle" : "", "family" : "Glasier", "given" : "Anna", "non-dropping-particle" : "", "parse-names" : false, "suffix" : "" }, { "dropping-particle" : "", "family" : "Innis", "given" : "Jolene", "non-dropping-particle" : "", "parse-names" : false, "suffix" : "" } ], "container-title" : "Lancet", "id" : "ITEM-1", "issue" : "9549", "issued" : { "date-parts" : [ [ "2006" ] ] }, "page" : "1810-1827", "title" : "Family planning: the unfinished agenda", "type" : "article", "volume" : "368" }, "uris" : [ "http://www.mendeley.com/documents/?uuid=b397acbb-39a6-4304-986b-c42985062728" ] } ], "mendeley" : { "formattedCitation" : "&lt;sup&gt;13&lt;/sup&gt;", "plainTextFormattedCitation" : "13", "previouslyFormattedCitation" : "&lt;sup&gt;13&lt;/sup&gt;" }, "properties" : { "noteIndex" : 0 }, "schema" : "https://github.com/citation-style-language/schema/raw/master/csl-citation.json" }</w:instrText>
      </w:r>
      <w:r w:rsidR="00373FF7">
        <w:fldChar w:fldCharType="separate"/>
      </w:r>
      <w:r w:rsidR="007D14FF" w:rsidRPr="007D14FF">
        <w:rPr>
          <w:noProof/>
          <w:vertAlign w:val="superscript"/>
        </w:rPr>
        <w:t>13</w:t>
      </w:r>
      <w:r w:rsidR="00373FF7">
        <w:fldChar w:fldCharType="end"/>
      </w:r>
      <w:r w:rsidR="00383C18">
        <w:t xml:space="preserve">. </w:t>
      </w:r>
      <w:r w:rsidR="00ED4FBA">
        <w:t xml:space="preserve">Family planning can be a key intervention in the prevention of </w:t>
      </w:r>
      <w:r w:rsidR="00A67EBA">
        <w:t>M</w:t>
      </w:r>
      <w:r w:rsidR="00ED4FBA">
        <w:t xml:space="preserve">other to </w:t>
      </w:r>
      <w:r w:rsidR="00A67EBA">
        <w:t>C</w:t>
      </w:r>
      <w:r w:rsidR="00ED4FBA">
        <w:t xml:space="preserve">hild </w:t>
      </w:r>
      <w:r w:rsidR="00A67EBA">
        <w:t>T</w:t>
      </w:r>
      <w:r w:rsidR="00ED4FBA">
        <w:t xml:space="preserve">ransmission of HIV, reducing unsafe abortions and improving child health outcomes through birth spacing. </w:t>
      </w:r>
      <w:r w:rsidR="00383C18">
        <w:t>Family planning has the potential to enhance sustainable changes by spurring economic growth, reducing poverty and positive contribution to the environment.</w:t>
      </w:r>
    </w:p>
    <w:p w:rsidR="00383C18" w:rsidRDefault="00383C18" w:rsidP="007312F7">
      <w:pPr>
        <w:jc w:val="both"/>
      </w:pPr>
    </w:p>
    <w:p w:rsidR="00383C18" w:rsidRDefault="00383C18" w:rsidP="007312F7">
      <w:pPr>
        <w:jc w:val="both"/>
      </w:pPr>
      <w:r>
        <w:t>Countries worldwide have made strides in adopting national family planning policies, and most countries in Africa have national family planning policies in place. However, there ha</w:t>
      </w:r>
      <w:r w:rsidR="00E23176">
        <w:t>ve</w:t>
      </w:r>
      <w:r>
        <w:t xml:space="preserve"> been </w:t>
      </w:r>
      <w:r w:rsidR="00ED4FBA">
        <w:t>constraints</w:t>
      </w:r>
      <w:r>
        <w:t xml:space="preserve"> in funding globally for family planning programmes</w:t>
      </w:r>
      <w:r w:rsidR="00ED4FBA">
        <w:t xml:space="preserve">, and the highest unmet need for family planning </w:t>
      </w:r>
      <w:r w:rsidR="00EC4AD0">
        <w:t>continues</w:t>
      </w:r>
      <w:r w:rsidR="000A2A78">
        <w:t xml:space="preserve"> </w:t>
      </w:r>
      <w:r w:rsidR="00AB5EFC">
        <w:t>unabated in</w:t>
      </w:r>
      <w:r w:rsidR="00ED4FBA">
        <w:t xml:space="preserve"> Africa.</w:t>
      </w:r>
    </w:p>
    <w:p w:rsidR="00ED4FBA" w:rsidRDefault="00ED4FBA" w:rsidP="007312F7">
      <w:pPr>
        <w:jc w:val="both"/>
      </w:pPr>
    </w:p>
    <w:p w:rsidR="00ED4FBA" w:rsidRDefault="00C41516" w:rsidP="007312F7">
      <w:pPr>
        <w:jc w:val="both"/>
      </w:pPr>
      <w:r>
        <w:t xml:space="preserve">The </w:t>
      </w:r>
      <w:r w:rsidR="00E23176">
        <w:t>Contraceptive prevalence rate</w:t>
      </w:r>
      <w:r>
        <w:t xml:space="preserve"> is one of</w:t>
      </w:r>
      <w:r w:rsidR="00E23176">
        <w:t xml:space="preserve"> the key indicators for family planning programmes. The </w:t>
      </w:r>
      <w:r w:rsidR="00A67EBA">
        <w:t>C</w:t>
      </w:r>
      <w:r w:rsidR="00E23176">
        <w:t xml:space="preserve">ontraceptive </w:t>
      </w:r>
      <w:r w:rsidR="00A67EBA">
        <w:t>P</w:t>
      </w:r>
      <w:r w:rsidR="00E23176">
        <w:t xml:space="preserve">revalence </w:t>
      </w:r>
      <w:r w:rsidR="00F25D75">
        <w:t xml:space="preserve">rate in Africa averaged 34.6% in 2013, against a desired target of at least 65%. This however is an increase from the average </w:t>
      </w:r>
      <w:r w:rsidR="00A67EBA">
        <w:t>C</w:t>
      </w:r>
      <w:r w:rsidR="00F25D75">
        <w:t xml:space="preserve">ontraceptive </w:t>
      </w:r>
      <w:r w:rsidR="00A67EBA">
        <w:t>P</w:t>
      </w:r>
      <w:r w:rsidR="00F25D75">
        <w:t xml:space="preserve">revalence rate in early 1990 </w:t>
      </w:r>
      <w:r w:rsidR="00E01B9F">
        <w:t>of</w:t>
      </w:r>
      <w:r w:rsidR="00F25D75">
        <w:t xml:space="preserve"> 20.2%. </w:t>
      </w:r>
      <w:r w:rsidR="00BD3654">
        <w:t>G</w:t>
      </w:r>
      <w:r w:rsidR="00F25D75">
        <w:t xml:space="preserve">raph </w:t>
      </w:r>
      <w:r w:rsidR="000A2A78">
        <w:t>8</w:t>
      </w:r>
      <w:r w:rsidR="00BD3654">
        <w:t xml:space="preserve"> </w:t>
      </w:r>
      <w:r w:rsidR="00F25D75">
        <w:t xml:space="preserve">shows the </w:t>
      </w:r>
      <w:r w:rsidR="00A67EBA">
        <w:t>C</w:t>
      </w:r>
      <w:r w:rsidR="00F25D75">
        <w:t xml:space="preserve">ontraceptive </w:t>
      </w:r>
      <w:r w:rsidR="00A67EBA">
        <w:t>P</w:t>
      </w:r>
      <w:r w:rsidR="00F25D75">
        <w:t>revalence rate in 1994 and the period 2010 – 2013.</w:t>
      </w:r>
    </w:p>
    <w:p w:rsidR="00193352" w:rsidRDefault="00193352" w:rsidP="007312F7">
      <w:pPr>
        <w:pStyle w:val="Caption"/>
        <w:keepNext/>
        <w:jc w:val="both"/>
      </w:pPr>
      <w:bookmarkStart w:id="41" w:name="TOC408286191"/>
      <w:bookmarkStart w:id="42" w:name="_Toc411525286"/>
      <w:r>
        <w:lastRenderedPageBreak/>
        <w:t xml:space="preserve">Graph </w:t>
      </w:r>
      <w:fldSimple w:instr=" SEQ Graph \* ARABIC ">
        <w:r w:rsidR="00641459">
          <w:rPr>
            <w:noProof/>
          </w:rPr>
          <w:t>6</w:t>
        </w:r>
      </w:fldSimple>
      <w:r>
        <w:t>: Contraceptive Prevalence Rates 1994, 2010, 2013</w:t>
      </w:r>
      <w:bookmarkEnd w:id="41"/>
      <w:bookmarkEnd w:id="42"/>
    </w:p>
    <w:p w:rsidR="00F25D75" w:rsidRPr="00BA78F4" w:rsidRDefault="00BA78F4" w:rsidP="007312F7">
      <w:pPr>
        <w:jc w:val="both"/>
      </w:pPr>
      <w:r>
        <w:rPr>
          <w:noProof/>
          <w:lang w:val="en-US"/>
        </w:rPr>
        <w:drawing>
          <wp:inline distT="0" distB="0" distL="0" distR="0" wp14:anchorId="111ED308" wp14:editId="669284EA">
            <wp:extent cx="5695950" cy="806767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78F4" w:rsidRDefault="00BA78F4" w:rsidP="007312F7">
      <w:pPr>
        <w:jc w:val="both"/>
      </w:pPr>
    </w:p>
    <w:p w:rsidR="00BA78F4" w:rsidRDefault="00BA78F4" w:rsidP="007312F7">
      <w:pPr>
        <w:jc w:val="both"/>
      </w:pPr>
    </w:p>
    <w:p w:rsidR="008869D5" w:rsidRDefault="0005182D" w:rsidP="007312F7">
      <w:pPr>
        <w:jc w:val="both"/>
      </w:pPr>
      <w:r>
        <w:t xml:space="preserve">The unmet need for family planning measures women who are fecund and sexually active but not using any method of contraception, and reporting not wanting any more children or wanting to delay the next child. </w:t>
      </w:r>
      <w:r w:rsidR="009B0CFC">
        <w:t xml:space="preserve">The average unmet need for family planning </w:t>
      </w:r>
      <w:r w:rsidR="00F10E87">
        <w:t xml:space="preserve">in Africa </w:t>
      </w:r>
      <w:r w:rsidR="009B0CFC">
        <w:t>was 23.9% in 2013</w:t>
      </w:r>
      <w:r w:rsidR="00F10E87">
        <w:t>, against a target of less than 4%</w:t>
      </w:r>
      <w:r w:rsidR="00106A83">
        <w:t xml:space="preserve">. The average </w:t>
      </w:r>
      <w:r w:rsidR="00034490">
        <w:t xml:space="preserve">unmet need in </w:t>
      </w:r>
      <w:r w:rsidR="0027572E">
        <w:t>early</w:t>
      </w:r>
      <w:r w:rsidR="00034490">
        <w:t xml:space="preserve"> 1990 was 27.4%, thus there has </w:t>
      </w:r>
      <w:r w:rsidR="00034490">
        <w:lastRenderedPageBreak/>
        <w:t xml:space="preserve">been very little reduction of the unmet need for family planning. </w:t>
      </w:r>
      <w:r w:rsidR="00BD3654">
        <w:t>G</w:t>
      </w:r>
      <w:r w:rsidR="00034490">
        <w:t>raph</w:t>
      </w:r>
      <w:r w:rsidR="000A2A78">
        <w:t xml:space="preserve"> 9</w:t>
      </w:r>
      <w:r w:rsidR="00BD3654">
        <w:t xml:space="preserve"> </w:t>
      </w:r>
      <w:r w:rsidR="00034490">
        <w:t>shows the</w:t>
      </w:r>
      <w:r w:rsidR="00BA78F4">
        <w:t xml:space="preserve"> average</w:t>
      </w:r>
      <w:r w:rsidR="00034490">
        <w:t xml:space="preserve"> unmet</w:t>
      </w:r>
      <w:r w:rsidR="000A2A78">
        <w:t xml:space="preserve"> </w:t>
      </w:r>
      <w:r w:rsidR="00AE5B4F">
        <w:t>need for</w:t>
      </w:r>
      <w:r w:rsidR="0027572E">
        <w:t xml:space="preserve"> family planning in 1994</w:t>
      </w:r>
      <w:r w:rsidR="00BA78F4">
        <w:t xml:space="preserve">, 2010 and </w:t>
      </w:r>
      <w:r w:rsidR="0027572E">
        <w:t>2013.</w:t>
      </w:r>
    </w:p>
    <w:p w:rsidR="008869D5" w:rsidRDefault="008869D5" w:rsidP="007312F7">
      <w:pPr>
        <w:jc w:val="both"/>
      </w:pPr>
    </w:p>
    <w:p w:rsidR="00193352" w:rsidRDefault="00193352" w:rsidP="007312F7">
      <w:pPr>
        <w:pStyle w:val="Caption"/>
        <w:keepNext/>
        <w:jc w:val="both"/>
      </w:pPr>
      <w:bookmarkStart w:id="43" w:name="TOC408286192"/>
      <w:bookmarkStart w:id="44" w:name="_Toc411525287"/>
      <w:r>
        <w:t xml:space="preserve">Graph </w:t>
      </w:r>
      <w:fldSimple w:instr=" SEQ Graph \* ARABIC ">
        <w:r w:rsidR="00641459">
          <w:rPr>
            <w:noProof/>
          </w:rPr>
          <w:t>7</w:t>
        </w:r>
      </w:fldSimple>
      <w:r>
        <w:t>: Average Unmet Need for FP 1994, 2000, 2010, 2013</w:t>
      </w:r>
      <w:bookmarkEnd w:id="43"/>
      <w:bookmarkEnd w:id="44"/>
    </w:p>
    <w:p w:rsidR="008869D5" w:rsidRDefault="008869D5" w:rsidP="007312F7">
      <w:pPr>
        <w:jc w:val="both"/>
      </w:pPr>
      <w:r>
        <w:rPr>
          <w:noProof/>
          <w:lang w:val="en-US"/>
        </w:rPr>
        <w:drawing>
          <wp:inline distT="0" distB="0" distL="0" distR="0" wp14:anchorId="1E01E8E4" wp14:editId="4A502B2D">
            <wp:extent cx="5105400" cy="28956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7572E" w:rsidRDefault="0027572E" w:rsidP="007312F7">
      <w:pPr>
        <w:jc w:val="both"/>
      </w:pPr>
    </w:p>
    <w:p w:rsidR="008B2F1A" w:rsidRDefault="008B2F1A" w:rsidP="007312F7">
      <w:pPr>
        <w:pStyle w:val="Heading2"/>
        <w:jc w:val="both"/>
      </w:pPr>
      <w:bookmarkStart w:id="45" w:name="_TOC55415"/>
      <w:bookmarkStart w:id="46" w:name="_TOC59255"/>
      <w:bookmarkStart w:id="47" w:name="_Toc411525481"/>
      <w:bookmarkEnd w:id="45"/>
      <w:bookmarkEnd w:id="46"/>
      <w:r>
        <w:t>HIV and Prevention of Mother to Child Transmission</w:t>
      </w:r>
      <w:bookmarkEnd w:id="47"/>
    </w:p>
    <w:p w:rsidR="008B2F1A" w:rsidRDefault="008549AC" w:rsidP="007312F7">
      <w:pPr>
        <w:jc w:val="both"/>
      </w:pPr>
      <w:r>
        <w:t>H</w:t>
      </w:r>
      <w:r w:rsidR="00482FD8">
        <w:t>IV</w:t>
      </w:r>
      <w:r>
        <w:t xml:space="preserve"> is still an important public health issue in Africa, and is an indirect contributor to maternal </w:t>
      </w:r>
      <w:r w:rsidR="00BC1326">
        <w:t xml:space="preserve">deaths. </w:t>
      </w:r>
      <w:r>
        <w:t>Globally, the number of new HIV infections per 100 adults (aged 15 to 49) declined by 44 per cent</w:t>
      </w:r>
      <w:r w:rsidR="00432BF8">
        <w:t xml:space="preserve"> </w:t>
      </w:r>
      <w:r>
        <w:t>between 2001and 2012. Southern Africa and Central Africa, the two</w:t>
      </w:r>
      <w:r w:rsidR="00432BF8">
        <w:t xml:space="preserve"> </w:t>
      </w:r>
      <w:r>
        <w:t>regions with the highest incidence, saw sharp declines</w:t>
      </w:r>
      <w:r w:rsidR="00432BF8">
        <w:t xml:space="preserve"> </w:t>
      </w:r>
      <w:r>
        <w:t>of 48 per cent and 54 per cent,</w:t>
      </w:r>
      <w:r w:rsidR="006B6F36">
        <w:t xml:space="preserve"> r</w:t>
      </w:r>
      <w:r>
        <w:t>espectively</w:t>
      </w:r>
      <w:r w:rsidR="00373FF7">
        <w:fldChar w:fldCharType="begin" w:fldLock="1"/>
      </w:r>
      <w:r w:rsidR="007D14FF">
        <w:instrText>ADDIN CSL_CITATION { "citationItems" : [ { "id" : "ITEM-1", "itemData" : { "author" : [ { "dropping-particle" : "", "family" : "United Nations", "given" : "", "non-dropping-particle" : "", "parse-names" : false, "suffix" : "" } ], "id" : "ITEM-1", "issued" : { "date-parts" : [ [ "2014" ] ] }, "title" : "The Millennium Development Goals Report 2014", "type" : "report" }, "uris" : [ "http://www.mendeley.com/documents/?uuid=9522a525-dd39-4bc9-baf0-deb15a248a77" ] } ], "mendeley" : { "formattedCitation" : "&lt;sup&gt;4&lt;/sup&gt;", "plainTextFormattedCitation" : "4", "previouslyFormattedCitation" : "&lt;sup&gt;4&lt;/sup&gt;" }, "properties" : { "noteIndex" : 0 }, "schema" : "https://github.com/citation-style-language/schema/raw/master/csl-citation.json" }</w:instrText>
      </w:r>
      <w:r w:rsidR="00373FF7">
        <w:fldChar w:fldCharType="separate"/>
      </w:r>
      <w:r w:rsidR="00403380" w:rsidRPr="00403380">
        <w:rPr>
          <w:noProof/>
          <w:vertAlign w:val="superscript"/>
        </w:rPr>
        <w:t>4</w:t>
      </w:r>
      <w:r w:rsidR="00373FF7">
        <w:fldChar w:fldCharType="end"/>
      </w:r>
      <w:r w:rsidR="007B7EA6">
        <w:t>. There are still more than 2.3 million cases of people newly infected and 1.6 million deaths from AID</w:t>
      </w:r>
      <w:r w:rsidR="00F17654">
        <w:t xml:space="preserve">S-related causes. In </w:t>
      </w:r>
      <w:r w:rsidR="007B7EA6">
        <w:t>Africa</w:t>
      </w:r>
      <w:r w:rsidR="00F17654">
        <w:t xml:space="preserve"> South of the Sahara</w:t>
      </w:r>
      <w:r w:rsidR="007B7EA6">
        <w:t>, there were 1.6 million new cases of HIV, almost 70 percent of the global burden of new HIV infections.</w:t>
      </w:r>
    </w:p>
    <w:p w:rsidR="007B7EA6" w:rsidRDefault="007B7EA6" w:rsidP="007312F7">
      <w:pPr>
        <w:jc w:val="both"/>
      </w:pPr>
    </w:p>
    <w:p w:rsidR="00B14708" w:rsidRDefault="00B14708" w:rsidP="007312F7">
      <w:pPr>
        <w:jc w:val="both"/>
      </w:pPr>
      <w:r>
        <w:t xml:space="preserve">HIV in pregnancy and the associated transmission of HIV from mother to child have been major contributors to maternal and child deaths in Africa. There has been very good progress in the reduction of transmission of HIV from mother to child. </w:t>
      </w:r>
      <w:r w:rsidRPr="00CD7867">
        <w:t>The transmission of HIV from an HIV</w:t>
      </w:r>
      <w:r w:rsidR="00432BF8">
        <w:t xml:space="preserve"> </w:t>
      </w:r>
      <w:r w:rsidRPr="00CD7867">
        <w:t xml:space="preserve">positive mother to her child during pregnancy, labour, delivery or breastfeeding </w:t>
      </w:r>
      <w:r>
        <w:t>i</w:t>
      </w:r>
      <w:r w:rsidRPr="00CD7867">
        <w:t>n the absence of any interventions transmission rates range from 15-45%. This rate can be reduced to levels below 5% with effective interventions</w:t>
      </w:r>
      <w:r>
        <w:t>.</w:t>
      </w:r>
    </w:p>
    <w:p w:rsidR="00B14708" w:rsidRDefault="00B14708" w:rsidP="007312F7">
      <w:pPr>
        <w:jc w:val="both"/>
      </w:pPr>
    </w:p>
    <w:p w:rsidR="007B7EA6" w:rsidRDefault="00ED32BB" w:rsidP="007312F7">
      <w:pPr>
        <w:jc w:val="both"/>
      </w:pPr>
      <w:r>
        <w:t>The Global Plan towards the elimination of new HIV infections among children by 2015 and keeping their mothers alive was launched in July 2011</w:t>
      </w:r>
      <w:r w:rsidR="00432BF8">
        <w:t xml:space="preserve"> </w:t>
      </w:r>
      <w:r>
        <w:t>at the United Nations General Assembly</w:t>
      </w:r>
      <w:r w:rsidR="00432BF8">
        <w:t xml:space="preserve"> </w:t>
      </w:r>
      <w:r>
        <w:t>High Level Meeting on AIDS.</w:t>
      </w:r>
      <w:r w:rsidR="006E29FC">
        <w:t xml:space="preserve"> Th</w:t>
      </w:r>
      <w:r w:rsidR="00BC1326">
        <w:t xml:space="preserve">e plan </w:t>
      </w:r>
      <w:r w:rsidR="006E29FC">
        <w:t xml:space="preserve">has accelerated the </w:t>
      </w:r>
      <w:r w:rsidR="00761644">
        <w:t>reduction of mother to child transmission</w:t>
      </w:r>
      <w:r w:rsidR="00432BF8">
        <w:t>. I</w:t>
      </w:r>
      <w:r w:rsidR="00761644">
        <w:t xml:space="preserve">n 2013, twice as many (68%) pregnant women living with HIV in the priority countries had access to antiretroviral medicines to reduce the risk of </w:t>
      </w:r>
      <w:r w:rsidR="00432BF8">
        <w:t xml:space="preserve">transmission of </w:t>
      </w:r>
      <w:r w:rsidR="00761644">
        <w:t>HIV</w:t>
      </w:r>
      <w:r w:rsidR="00432BF8">
        <w:t xml:space="preserve"> to their children</w:t>
      </w:r>
      <w:r w:rsidR="00BC1326">
        <w:t>.</w:t>
      </w:r>
      <w:r w:rsidR="00432BF8">
        <w:t xml:space="preserve"> </w:t>
      </w:r>
      <w:r w:rsidR="00B14708">
        <w:t>F</w:t>
      </w:r>
      <w:r w:rsidR="00761644">
        <w:t>or the first time since the 1990s, the number of new HIV infections among children in the 21 Gl</w:t>
      </w:r>
      <w:r w:rsidR="00F17654">
        <w:t xml:space="preserve">obal Plan priority countries in </w:t>
      </w:r>
      <w:r w:rsidR="00761644">
        <w:t>Africa</w:t>
      </w:r>
      <w:r w:rsidR="00F17654">
        <w:t xml:space="preserve"> South of the Sahara</w:t>
      </w:r>
      <w:r w:rsidR="00761644">
        <w:t xml:space="preserve"> dropped to under 200</w:t>
      </w:r>
      <w:r w:rsidR="00432BF8">
        <w:t>,</w:t>
      </w:r>
      <w:r w:rsidR="00761644">
        <w:t xml:space="preserve">000 </w:t>
      </w:r>
      <w:r w:rsidR="00373FF7">
        <w:fldChar w:fldCharType="begin" w:fldLock="1"/>
      </w:r>
      <w:r w:rsidR="00B56F2B">
        <w:instrText>ADDIN CSL_CITATION { "citationItems" : [ { "id" : "ITEM-1", "itemData" : { "author" : [ { "dropping-particle" : "", "family" : "UNAIDS", "given" : "", "non-dropping-particle" : "", "parse-names" : false, "suffix" : "" } ], "id" : "ITEM-1", "issued" : { "date-parts" : [ [ "2014" ] ] }, "title" : "2014 Progress Report on the global plan towards the elimination of new HIV infections among children by 2015 and keeping their mothers alive", "type" : "article-journal" }, "uris" : [ "http://www.mendeley.com/documents/?uuid=0ab9ad78-4cdf-4594-afbd-45dc5ab669c4" ] } ], "mendeley" : { "formattedCitation" : "&lt;sup&gt;14&lt;/sup&gt;", "plainTextFormattedCitation" : "14", "previouslyFormattedCitation" : "&lt;sup&gt;14&lt;/sup&gt;" }, "properties" : { "noteIndex" : 0 }, "schema" : "https://github.com/citation-style-language/schema/raw/master/csl-citation.json" }</w:instrText>
      </w:r>
      <w:r w:rsidR="00373FF7">
        <w:fldChar w:fldCharType="separate"/>
      </w:r>
      <w:r w:rsidR="007D14FF" w:rsidRPr="007D14FF">
        <w:rPr>
          <w:noProof/>
          <w:vertAlign w:val="superscript"/>
        </w:rPr>
        <w:t>14</w:t>
      </w:r>
      <w:r w:rsidR="00373FF7">
        <w:fldChar w:fldCharType="end"/>
      </w:r>
      <w:r w:rsidR="00F705F7">
        <w:t>.</w:t>
      </w:r>
    </w:p>
    <w:p w:rsidR="00CD7867" w:rsidRDefault="00CD7867" w:rsidP="007312F7">
      <w:pPr>
        <w:jc w:val="both"/>
      </w:pPr>
    </w:p>
    <w:p w:rsidR="00F705F7" w:rsidRDefault="00F705F7" w:rsidP="007312F7">
      <w:pPr>
        <w:jc w:val="both"/>
      </w:pPr>
      <w:r>
        <w:t xml:space="preserve">In the 21 priority countries under the UNAIDS Global Plan, there have been major reductions in the </w:t>
      </w:r>
      <w:r w:rsidR="00B8422C">
        <w:t xml:space="preserve">number of HIV transmissions to children. The table below </w:t>
      </w:r>
      <w:r w:rsidR="00B8422C">
        <w:lastRenderedPageBreak/>
        <w:t xml:space="preserve">shows the </w:t>
      </w:r>
      <w:r w:rsidR="00E30E9D">
        <w:t>countries</w:t>
      </w:r>
      <w:r w:rsidR="00B8422C">
        <w:t xml:space="preserve"> and the percentages of reduction</w:t>
      </w:r>
      <w:r w:rsidR="00AD5CA3">
        <w:t xml:space="preserve"> of mother to child transmission</w:t>
      </w:r>
      <w:r w:rsidR="00CD7867">
        <w:t xml:space="preserve">. Eight countries have achieved more than a 50% decline in the </w:t>
      </w:r>
      <w:r w:rsidR="00FA640B">
        <w:t>rate</w:t>
      </w:r>
      <w:r w:rsidR="00875716">
        <w:t>s</w:t>
      </w:r>
      <w:r w:rsidR="00FA640B">
        <w:t xml:space="preserve"> of transmission</w:t>
      </w:r>
      <w:r w:rsidR="00875716">
        <w:t xml:space="preserve">, and </w:t>
      </w:r>
      <w:r w:rsidR="007312F7">
        <w:t xml:space="preserve">nine </w:t>
      </w:r>
      <w:r w:rsidR="00875716">
        <w:t xml:space="preserve">countries have achieved a 26 – 50% decline. The reduction of MTCT </w:t>
      </w:r>
      <w:r w:rsidR="008175A4">
        <w:t xml:space="preserve">has improved significantly on the continent. </w:t>
      </w:r>
      <w:r w:rsidR="00BD3654">
        <w:t>Table 5 summaries the percentage decline in MTCT in target African countries.</w:t>
      </w:r>
    </w:p>
    <w:p w:rsidR="00B8422C" w:rsidRDefault="00B8422C" w:rsidP="007312F7">
      <w:pPr>
        <w:jc w:val="both"/>
      </w:pPr>
    </w:p>
    <w:p w:rsidR="00193352" w:rsidRDefault="00193352" w:rsidP="007312F7">
      <w:pPr>
        <w:pStyle w:val="Caption"/>
        <w:keepNext/>
        <w:jc w:val="both"/>
      </w:pPr>
      <w:bookmarkStart w:id="48" w:name="TOC408292359"/>
      <w:bookmarkStart w:id="49" w:name="_Toc411525272"/>
      <w:r>
        <w:t xml:space="preserve">Table </w:t>
      </w:r>
      <w:fldSimple w:instr=" SEQ Table \* ARABIC ">
        <w:r w:rsidR="00943DB0">
          <w:rPr>
            <w:noProof/>
          </w:rPr>
          <w:t>5</w:t>
        </w:r>
      </w:fldSimple>
      <w:r>
        <w:t>: Percentage Decline in MTCT</w:t>
      </w:r>
      <w:bookmarkEnd w:id="48"/>
      <w:bookmarkEnd w:id="49"/>
    </w:p>
    <w:tbl>
      <w:tblPr>
        <w:tblW w:w="8274" w:type="dxa"/>
        <w:tblInd w:w="103" w:type="dxa"/>
        <w:tblLook w:val="04A0" w:firstRow="1" w:lastRow="0" w:firstColumn="1" w:lastColumn="0" w:noHBand="0" w:noVBand="1"/>
      </w:tblPr>
      <w:tblGrid>
        <w:gridCol w:w="2421"/>
        <w:gridCol w:w="3800"/>
        <w:gridCol w:w="2053"/>
      </w:tblGrid>
      <w:tr w:rsidR="00B2555D" w:rsidRPr="00AD5CA3" w:rsidTr="00AD5CA3">
        <w:trPr>
          <w:trHeight w:val="285"/>
        </w:trPr>
        <w:tc>
          <w:tcPr>
            <w:tcW w:w="2421" w:type="dxa"/>
            <w:tcBorders>
              <w:top w:val="single" w:sz="4" w:space="0" w:color="4F81BD"/>
              <w:left w:val="single" w:sz="4" w:space="0" w:color="4F81BD"/>
              <w:bottom w:val="nil"/>
              <w:right w:val="nil"/>
            </w:tcBorders>
            <w:shd w:val="clear" w:color="4F81BD" w:fill="4F81BD"/>
            <w:noWrap/>
            <w:vAlign w:val="bottom"/>
            <w:hideMark/>
          </w:tcPr>
          <w:p w:rsidR="00AD5CA3" w:rsidRPr="00145E56" w:rsidRDefault="00AD5CA3" w:rsidP="007312F7">
            <w:pPr>
              <w:jc w:val="both"/>
              <w:rPr>
                <w:rFonts w:ascii="Arial" w:hAnsi="Arial"/>
                <w:b/>
                <w:color w:val="FFFFFF"/>
                <w:sz w:val="20"/>
              </w:rPr>
            </w:pPr>
            <w:r w:rsidRPr="00145E56">
              <w:rPr>
                <w:rFonts w:ascii="Arial" w:hAnsi="Arial"/>
                <w:b/>
                <w:color w:val="FFFFFF"/>
                <w:sz w:val="20"/>
              </w:rPr>
              <w:t>&gt;50% Decline</w:t>
            </w:r>
          </w:p>
        </w:tc>
        <w:tc>
          <w:tcPr>
            <w:tcW w:w="3800" w:type="dxa"/>
            <w:tcBorders>
              <w:top w:val="single" w:sz="4" w:space="0" w:color="4F81BD"/>
              <w:left w:val="nil"/>
              <w:bottom w:val="nil"/>
              <w:right w:val="nil"/>
            </w:tcBorders>
            <w:shd w:val="clear" w:color="4F81BD" w:fill="4F81BD"/>
            <w:noWrap/>
            <w:vAlign w:val="bottom"/>
            <w:hideMark/>
          </w:tcPr>
          <w:p w:rsidR="00AD5CA3" w:rsidRPr="00145E56" w:rsidRDefault="00AD5CA3" w:rsidP="007312F7">
            <w:pPr>
              <w:jc w:val="both"/>
              <w:rPr>
                <w:rFonts w:ascii="Arial" w:hAnsi="Arial"/>
                <w:b/>
                <w:color w:val="FFFFFF"/>
                <w:sz w:val="20"/>
              </w:rPr>
            </w:pPr>
            <w:r w:rsidRPr="00145E56">
              <w:rPr>
                <w:rFonts w:ascii="Arial" w:hAnsi="Arial"/>
                <w:b/>
                <w:color w:val="FFFFFF"/>
                <w:sz w:val="20"/>
              </w:rPr>
              <w:t>26 - 50% Decline</w:t>
            </w:r>
          </w:p>
        </w:tc>
        <w:tc>
          <w:tcPr>
            <w:tcW w:w="2053" w:type="dxa"/>
            <w:tcBorders>
              <w:top w:val="single" w:sz="4" w:space="0" w:color="4F81BD"/>
              <w:left w:val="nil"/>
              <w:bottom w:val="nil"/>
              <w:right w:val="single" w:sz="4" w:space="0" w:color="4F81BD"/>
            </w:tcBorders>
            <w:shd w:val="clear" w:color="4F81BD" w:fill="4F81BD"/>
            <w:noWrap/>
            <w:vAlign w:val="bottom"/>
            <w:hideMark/>
          </w:tcPr>
          <w:p w:rsidR="00AD5CA3" w:rsidRPr="00145E56" w:rsidRDefault="00AD5CA3" w:rsidP="007312F7">
            <w:pPr>
              <w:jc w:val="both"/>
              <w:rPr>
                <w:rFonts w:ascii="Arial" w:hAnsi="Arial"/>
                <w:b/>
                <w:color w:val="FFFFFF"/>
                <w:sz w:val="20"/>
              </w:rPr>
            </w:pPr>
            <w:r w:rsidRPr="00145E56">
              <w:rPr>
                <w:rFonts w:ascii="Arial" w:hAnsi="Arial"/>
                <w:b/>
                <w:color w:val="FFFFFF"/>
                <w:sz w:val="20"/>
              </w:rPr>
              <w:t>&lt;25% Decline</w:t>
            </w: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Botswana</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Burundi</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Angola</w:t>
            </w: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Ethiopia</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Cameroon</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Chad</w:t>
            </w: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Ghana</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Côte d’Ivoire</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Lesotho</w:t>
            </w: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Malawi</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Democratic Republic of Congo</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Nigeria</w:t>
            </w: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Mozambique</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Kenya</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Namibia</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Swaziland</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South Africa</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Uganda</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p>
        </w:tc>
      </w:tr>
      <w:tr w:rsidR="00B2555D" w:rsidRPr="00AD5CA3" w:rsidTr="00AD5CA3">
        <w:trPr>
          <w:trHeight w:val="285"/>
        </w:trPr>
        <w:tc>
          <w:tcPr>
            <w:tcW w:w="2421" w:type="dxa"/>
            <w:tcBorders>
              <w:top w:val="single" w:sz="4" w:space="0" w:color="4F81BD"/>
              <w:left w:val="single" w:sz="4" w:space="0" w:color="4F81BD"/>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Zimbabwe</w:t>
            </w:r>
          </w:p>
        </w:tc>
        <w:tc>
          <w:tcPr>
            <w:tcW w:w="3800" w:type="dxa"/>
            <w:tcBorders>
              <w:top w:val="single" w:sz="4" w:space="0" w:color="4F81BD"/>
              <w:left w:val="nil"/>
              <w:bottom w:val="nil"/>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United Republic of Tanzania</w:t>
            </w:r>
          </w:p>
        </w:tc>
        <w:tc>
          <w:tcPr>
            <w:tcW w:w="2053" w:type="dxa"/>
            <w:tcBorders>
              <w:top w:val="single" w:sz="4" w:space="0" w:color="4F81BD"/>
              <w:left w:val="nil"/>
              <w:bottom w:val="nil"/>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p>
        </w:tc>
      </w:tr>
      <w:tr w:rsidR="00B2555D" w:rsidRPr="00AD5CA3" w:rsidTr="00AD5CA3">
        <w:trPr>
          <w:trHeight w:val="285"/>
        </w:trPr>
        <w:tc>
          <w:tcPr>
            <w:tcW w:w="2421" w:type="dxa"/>
            <w:tcBorders>
              <w:top w:val="single" w:sz="4" w:space="0" w:color="4F81BD"/>
              <w:left w:val="single" w:sz="4" w:space="0" w:color="4F81BD"/>
              <w:bottom w:val="single" w:sz="4" w:space="0" w:color="4F81BD"/>
              <w:right w:val="nil"/>
            </w:tcBorders>
            <w:shd w:val="clear" w:color="auto" w:fill="auto"/>
            <w:noWrap/>
            <w:vAlign w:val="bottom"/>
            <w:hideMark/>
          </w:tcPr>
          <w:p w:rsidR="00AD5CA3" w:rsidRPr="00145E56" w:rsidRDefault="00AD5CA3" w:rsidP="007312F7">
            <w:pPr>
              <w:jc w:val="both"/>
              <w:rPr>
                <w:rFonts w:ascii="Arial" w:hAnsi="Arial"/>
                <w:color w:val="000000"/>
                <w:sz w:val="20"/>
              </w:rPr>
            </w:pPr>
          </w:p>
        </w:tc>
        <w:tc>
          <w:tcPr>
            <w:tcW w:w="3800" w:type="dxa"/>
            <w:tcBorders>
              <w:top w:val="single" w:sz="4" w:space="0" w:color="4F81BD"/>
              <w:left w:val="nil"/>
              <w:bottom w:val="single" w:sz="4" w:space="0" w:color="4F81BD"/>
              <w:right w:val="nil"/>
            </w:tcBorders>
            <w:shd w:val="clear" w:color="auto" w:fill="auto"/>
            <w:noWrap/>
            <w:vAlign w:val="bottom"/>
            <w:hideMark/>
          </w:tcPr>
          <w:p w:rsidR="00AD5CA3" w:rsidRPr="00145E56" w:rsidRDefault="00AD5CA3" w:rsidP="007312F7">
            <w:pPr>
              <w:jc w:val="both"/>
              <w:rPr>
                <w:rFonts w:ascii="Arial" w:hAnsi="Arial"/>
                <w:color w:val="000000"/>
                <w:sz w:val="20"/>
              </w:rPr>
            </w:pPr>
            <w:r w:rsidRPr="00145E56">
              <w:rPr>
                <w:rFonts w:ascii="Arial" w:hAnsi="Arial"/>
                <w:color w:val="000000"/>
                <w:sz w:val="20"/>
              </w:rPr>
              <w:t>Zambia</w:t>
            </w:r>
          </w:p>
        </w:tc>
        <w:tc>
          <w:tcPr>
            <w:tcW w:w="2053" w:type="dxa"/>
            <w:tcBorders>
              <w:top w:val="single" w:sz="4" w:space="0" w:color="4F81BD"/>
              <w:left w:val="nil"/>
              <w:bottom w:val="single" w:sz="4" w:space="0" w:color="4F81BD"/>
              <w:right w:val="single" w:sz="4" w:space="0" w:color="4F81BD"/>
            </w:tcBorders>
            <w:shd w:val="clear" w:color="auto" w:fill="auto"/>
            <w:noWrap/>
            <w:vAlign w:val="bottom"/>
            <w:hideMark/>
          </w:tcPr>
          <w:p w:rsidR="00AD5CA3" w:rsidRPr="00145E56" w:rsidRDefault="00AD5CA3" w:rsidP="007312F7">
            <w:pPr>
              <w:jc w:val="both"/>
              <w:rPr>
                <w:rFonts w:ascii="Arial" w:hAnsi="Arial"/>
                <w:color w:val="000000"/>
                <w:sz w:val="20"/>
              </w:rPr>
            </w:pPr>
          </w:p>
        </w:tc>
      </w:tr>
    </w:tbl>
    <w:p w:rsidR="006E5562" w:rsidRDefault="006E5562" w:rsidP="007312F7">
      <w:pPr>
        <w:jc w:val="both"/>
      </w:pPr>
    </w:p>
    <w:p w:rsidR="00600E96" w:rsidRDefault="00600E96" w:rsidP="007312F7">
      <w:pPr>
        <w:pStyle w:val="Heading2"/>
        <w:jc w:val="both"/>
      </w:pPr>
      <w:bookmarkStart w:id="50" w:name="_TOC61532"/>
      <w:bookmarkStart w:id="51" w:name="_TOC66006"/>
      <w:bookmarkStart w:id="52" w:name="_Toc411525482"/>
      <w:bookmarkEnd w:id="50"/>
      <w:bookmarkEnd w:id="51"/>
      <w:r>
        <w:t>Adolescent Reproductive Health</w:t>
      </w:r>
      <w:bookmarkEnd w:id="52"/>
    </w:p>
    <w:p w:rsidR="00600E96" w:rsidRDefault="00600E96" w:rsidP="007312F7">
      <w:pPr>
        <w:jc w:val="both"/>
      </w:pPr>
      <w:r>
        <w:t xml:space="preserve">Adolescents are a key population in the maintenance of reproductive, maternal and child health. Adolescents are </w:t>
      </w:r>
      <w:r w:rsidR="00C16BE5">
        <w:t xml:space="preserve">at risk </w:t>
      </w:r>
      <w:r w:rsidR="005B54A5">
        <w:t xml:space="preserve">of </w:t>
      </w:r>
      <w:r w:rsidR="00C16BE5">
        <w:t>adverse outcomes of pregnancy, are more liable to contracting HIV and at high risk of adverse outcomes for their children. It is critical to address adolescents in maternal and new</w:t>
      </w:r>
      <w:r w:rsidR="007312F7">
        <w:t>-</w:t>
      </w:r>
      <w:r w:rsidR="00C16BE5">
        <w:t>born health programmes.</w:t>
      </w:r>
    </w:p>
    <w:p w:rsidR="00C16BE5" w:rsidRDefault="00C16BE5" w:rsidP="007312F7">
      <w:pPr>
        <w:jc w:val="both"/>
      </w:pPr>
    </w:p>
    <w:p w:rsidR="00C16BE5" w:rsidRDefault="00DD3FC6" w:rsidP="007312F7">
      <w:pPr>
        <w:jc w:val="both"/>
      </w:pPr>
      <w:r>
        <w:t>Each year an estimated 16 million w</w:t>
      </w:r>
      <w:r w:rsidR="00593C6D">
        <w:t>omen aged 15–19 years give birth</w:t>
      </w:r>
      <w:r>
        <w:t xml:space="preserve"> and a further million become mothers before age 15 years</w:t>
      </w:r>
      <w:r w:rsidR="00593C6D">
        <w:t xml:space="preserve">. Adolescents aged 15 - 20 are more likely to die in childbirth as compared to women older than 20. There is increased mortality among women aged 15 – 19 as compared to the age group 20 – 29 </w:t>
      </w:r>
      <w:r w:rsidR="00373FF7">
        <w:fldChar w:fldCharType="begin" w:fldLock="1"/>
      </w:r>
      <w:r w:rsidR="009676BD">
        <w:instrText>ADDIN CSL_CITATION { "citationItems" : [ { "id" : "ITEM-1", "itemData" : { "DOI" : "10.1016/S2214-109X(13)70179-7", "ISSN" : "2214-109X", "PMID" : "25102848", "abstract" : "BACKGROUND: Adolescents are often noted to have an increased risk of death during pregnancy or childbirth compared with older women, but the existing evidence is inconsistent and in many cases contradictory. We aimed to quantify the risk of maternal death in adolescents by estimating maternal mortality ratios for women aged 15-19 years by country, region, and worldwide, and to compare these ratios with those for women in other 5-year age groups.\n\nMETHODS: We used data from 144 countries and territories (65 with vital registration data and 79 with nationally representative survey data) to calculate the proportion of maternal deaths among deaths of females of reproductive age (PMDF) for each 5-year age group from 15-19 to 45-49 years. We adjusted these estimates to take into account under-reporting of maternal deaths, and deaths during pregnancy from non-maternal causes. We then applied the adjusted PMDFs to the most reliable age-specific estimates of deaths and livebirths to derive age-specific maternal mortality ratios.\n\nFINDINGS: The aggregated data show a J-shaped curve for the age distribution of maternal mortality, with a slightly increased risk of mortality in adolescents compared with women aged 20-24 years (maternal mortality ratio 260 [uncertainty 100-410] vs 190 [120-260] maternal deaths per 100\u2008000 livebirths for all 144 countries combined), and the highest risk in women older than 30 years. Analysis for individual countries showed substantial heterogeneity; some showed a clear J-shaped curve, whereas in others adolescents had a slightly lower maternal mortality ratio than women in their early 20s. No obvious groupings were apparent in terms of economic development, demographic characteristics, or geographical region for countries with these different age patterns.\n\nINTERPRETATION: Our findings suggest that the excess mortality risk to adolescent mothers might be less than previously believed, and in most countries the adolescent maternal mortality ratio is low compared with women older than 30 years. However, these findings should not divert focus away from efforts to reduce adolescent pregnancy, which are central to the promotion of women's educational, social, and economic development.\n\nFUNDING: WHO, UN Population Fund.", "author" : [ { "dropping-particle" : "", "family" : "Nove", "given" : "Andrea", "non-dropping-particle" : "", "parse-names" : false, "suffix" : "" }, { "dropping-particle" : "", "family" : "Matthews", "given" : "Zo\u00eb", "non-dropping-particle" : "", "parse-names" : false, "suffix" : "" }, { "dropping-particle" : "", "family" : "Neal", "given" : "Sarah", "non-dropping-particle" : "", "parse-names" : false, "suffix" : "" }, { "dropping-particle" : "", "family" : "Camacho", "given" : "Alma Virginia", "non-dropping-particle" : "", "parse-names" : false, "suffix" : "" } ], "container-title" : "The Lancet. Global health", "id" : "ITEM-1", "issue" : "3", "issued" : { "date-parts" : [ [ "2014", "3", "3" ] ] }, "page" : "e155-64", "publisher" : "Elsevier", "title" : "Maternal mortality in adolescents compared with women of other ages: evidence from 144 countries.", "type" : "article-journal", "volume" : "2" }, "uris" : [ "http://www.mendeley.com/documents/?uuid=ab7ee675-39b9-44ef-83c3-0357d06f98f3" ] } ], "mendeley" : { "formattedCitation" : "&lt;sup&gt;15&lt;/sup&gt;", "plainTextFormattedCitation" : "15", "previouslyFormattedCitation" : "&lt;sup&gt;15&lt;/sup&gt;" }, "properties" : { "noteIndex" : 0 }, "schema" : "https://github.com/citation-style-language/schema/raw/master/csl-citation.json" }</w:instrText>
      </w:r>
      <w:r w:rsidR="00373FF7">
        <w:fldChar w:fldCharType="separate"/>
      </w:r>
      <w:r w:rsidR="0044458F" w:rsidRPr="0044458F">
        <w:rPr>
          <w:noProof/>
          <w:vertAlign w:val="superscript"/>
        </w:rPr>
        <w:t>15</w:t>
      </w:r>
      <w:r w:rsidR="00373FF7">
        <w:fldChar w:fldCharType="end"/>
      </w:r>
      <w:r w:rsidR="00593C6D">
        <w:t xml:space="preserve">. There is also increased morbidity through injuries and obstructed labour in this age group as compared to others. The high mortality and morbidity among adolescents transcends economic, geographical and cultural boundaries. Adolescents are also more prone to HIV infection. Almost one in four new HIV infections in </w:t>
      </w:r>
      <w:r w:rsidR="00FF78DA">
        <w:t>Africa South of the Sahara</w:t>
      </w:r>
      <w:r w:rsidR="00593C6D">
        <w:t xml:space="preserve"> is a young girl or woman </w:t>
      </w:r>
      <w:r w:rsidR="00373FF7">
        <w:fldChar w:fldCharType="begin" w:fldLock="1"/>
      </w:r>
      <w:r w:rsidR="00B56F2B">
        <w:instrText>ADDIN CSL_CITATION { "citationItems" : [ { "id" : "ITEM-1", "itemData" : { "author" : [ { "dropping-particle" : "", "family" : "UNAIDS", "given" : "", "non-dropping-particle" : "", "parse-names" : false, "suffix" : "" } ], "id" : "ITEM-1", "issued" : { "date-parts" : [ [ "2014" ] ] }, "title" : "The gap report", "type" : "article-journal" }, "uris" : [ "http://www.mendeley.com/documents/?uuid=3bc4deb3-1afc-4875-b782-13e741c3e59d" ] } ], "mendeley" : { "formattedCitation" : "&lt;sup&gt;16&lt;/sup&gt;", "plainTextFormattedCitation" : "16", "previouslyFormattedCitation" : "&lt;sup&gt;16&lt;/sup&gt;" }, "properties" : { "noteIndex" : 0 }, "schema" : "https://github.com/citation-style-language/schema/raw/master/csl-citation.json" }</w:instrText>
      </w:r>
      <w:r w:rsidR="00373FF7">
        <w:fldChar w:fldCharType="separate"/>
      </w:r>
      <w:r w:rsidR="007D14FF" w:rsidRPr="007D14FF">
        <w:rPr>
          <w:noProof/>
          <w:vertAlign w:val="superscript"/>
        </w:rPr>
        <w:t>16</w:t>
      </w:r>
      <w:r w:rsidR="00373FF7">
        <w:fldChar w:fldCharType="end"/>
      </w:r>
      <w:r w:rsidR="00593C6D">
        <w:t xml:space="preserve">. </w:t>
      </w:r>
      <w:r w:rsidR="00E3574D">
        <w:t xml:space="preserve">Adolescents are more likely to undergo an unsafe abortion. Every year approximately 2 million adolescents undergo unsafe abortion </w:t>
      </w:r>
      <w:r w:rsidR="00373FF7">
        <w:fldChar w:fldCharType="begin" w:fldLock="1"/>
      </w:r>
      <w:r w:rsidR="009676BD">
        <w:instrText>ADDIN CSL_CITATION { "citationItems" : [ { "id" : "ITEM-1", "itemData" : { "author" : [ { "dropping-particle" : "", "family" : "UNFPA", "given" : "", "non-dropping-particle" : "", "parse-names" : false, "suffix" : "" } ], "id" : "ITEM-1", "issued" : { "date-parts" : [ [ "2006" ] ] }, "title" : "Pregnant Adolescents", "type" : "report" }, "uris" : [ "http://www.mendeley.com/documents/?uuid=d54948a4-d57c-4c3c-8385-fbcce1a9336d" ] } ], "mendeley" : { "formattedCitation" : "&lt;sup&gt;17&lt;/sup&gt;", "plainTextFormattedCitation" : "17", "previouslyFormattedCitation" : "&lt;sup&gt;17&lt;/sup&gt;" }, "properties" : { "noteIndex" : 0 }, "schema" : "https://github.com/citation-style-language/schema/raw/master/csl-citation.json" }</w:instrText>
      </w:r>
      <w:r w:rsidR="00373FF7">
        <w:fldChar w:fldCharType="separate"/>
      </w:r>
      <w:r w:rsidR="0044458F" w:rsidRPr="0044458F">
        <w:rPr>
          <w:noProof/>
          <w:vertAlign w:val="superscript"/>
        </w:rPr>
        <w:t>17</w:t>
      </w:r>
      <w:r w:rsidR="00373FF7">
        <w:fldChar w:fldCharType="end"/>
      </w:r>
      <w:r w:rsidR="00AA2D7A">
        <w:t xml:space="preserve">, often with devastating </w:t>
      </w:r>
      <w:r w:rsidR="00E30E9D">
        <w:t>lifelong</w:t>
      </w:r>
      <w:r w:rsidR="00AA2D7A">
        <w:t xml:space="preserve"> injuries.</w:t>
      </w:r>
      <w:r w:rsidR="00E3574D">
        <w:t xml:space="preserve"> Adolescents</w:t>
      </w:r>
      <w:r w:rsidR="00593C6D">
        <w:t>, are howe</w:t>
      </w:r>
      <w:r w:rsidR="00E3574D">
        <w:t>v</w:t>
      </w:r>
      <w:r w:rsidR="00593C6D">
        <w:t xml:space="preserve">er more likely </w:t>
      </w:r>
      <w:r w:rsidR="00E3574D">
        <w:t>to be excluded from health services, and unable to access care including HIV treatment.</w:t>
      </w:r>
    </w:p>
    <w:p w:rsidR="00AA2D7A" w:rsidRDefault="00AA2D7A" w:rsidP="007312F7">
      <w:pPr>
        <w:jc w:val="both"/>
      </w:pPr>
    </w:p>
    <w:p w:rsidR="00C53C9F" w:rsidRDefault="00C53C9F" w:rsidP="007312F7">
      <w:pPr>
        <w:jc w:val="both"/>
      </w:pPr>
      <w:r>
        <w:t xml:space="preserve">In Africa, the adolescent fertility rate – number of births per 1000 women aged 15 -19; averaged 81.6 in 2013. The commonly accepted target for adolescent fertility rate is less than 19 per 1000 women. There were major variations between countries with highest being 192 and the lowest being 2. </w:t>
      </w:r>
      <w:r w:rsidR="00BD3654">
        <w:t>G</w:t>
      </w:r>
      <w:r>
        <w:t>raph</w:t>
      </w:r>
      <w:r w:rsidR="00BD3654">
        <w:t xml:space="preserve"> 9</w:t>
      </w:r>
      <w:r>
        <w:t xml:space="preserve"> below shows the adolescent fertility rate in member countries in 2013</w:t>
      </w:r>
      <w:r w:rsidR="005733A8">
        <w:t>. There have been major variations in the adolescent fertility rates among member countries, and uniform declines are not evident</w:t>
      </w:r>
      <w:bookmarkStart w:id="53" w:name="GoBack"/>
      <w:bookmarkEnd w:id="53"/>
      <w:r w:rsidR="005733A8">
        <w:t>.</w:t>
      </w:r>
    </w:p>
    <w:p w:rsidR="00C53C9F" w:rsidRDefault="00C53C9F" w:rsidP="007312F7">
      <w:pPr>
        <w:jc w:val="both"/>
      </w:pPr>
    </w:p>
    <w:p w:rsidR="00193352" w:rsidRDefault="00193352" w:rsidP="007312F7">
      <w:pPr>
        <w:pStyle w:val="Caption"/>
        <w:keepNext/>
        <w:jc w:val="both"/>
      </w:pPr>
      <w:bookmarkStart w:id="54" w:name="TOC408286193"/>
      <w:bookmarkStart w:id="55" w:name="_Toc411525288"/>
      <w:r>
        <w:lastRenderedPageBreak/>
        <w:t xml:space="preserve">Graph </w:t>
      </w:r>
      <w:fldSimple w:instr=" SEQ Graph \* ARABIC ">
        <w:r w:rsidR="00641459">
          <w:rPr>
            <w:noProof/>
          </w:rPr>
          <w:t>8</w:t>
        </w:r>
      </w:fldSimple>
      <w:r>
        <w:t>: Adolescent Fertility Rates 1994, 2000, 2013</w:t>
      </w:r>
      <w:bookmarkEnd w:id="54"/>
      <w:bookmarkEnd w:id="55"/>
    </w:p>
    <w:p w:rsidR="00C53C9F" w:rsidRDefault="008175A4" w:rsidP="007312F7">
      <w:pPr>
        <w:jc w:val="both"/>
      </w:pPr>
      <w:r>
        <w:rPr>
          <w:noProof/>
          <w:lang w:val="en-US"/>
        </w:rPr>
        <w:drawing>
          <wp:inline distT="0" distB="0" distL="0" distR="0" wp14:anchorId="5AB80E74" wp14:editId="620F55F3">
            <wp:extent cx="5362575" cy="7448550"/>
            <wp:effectExtent l="0" t="0" r="952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53C9F" w:rsidRDefault="00C53C9F" w:rsidP="007312F7">
      <w:pPr>
        <w:jc w:val="both"/>
      </w:pPr>
    </w:p>
    <w:p w:rsidR="000911BB" w:rsidRDefault="000911BB" w:rsidP="007312F7">
      <w:pPr>
        <w:jc w:val="both"/>
      </w:pPr>
      <w:bookmarkStart w:id="56" w:name="_TOC67923"/>
      <w:bookmarkEnd w:id="56"/>
      <w:r>
        <w:br w:type="page"/>
      </w:r>
    </w:p>
    <w:p w:rsidR="000911BB" w:rsidRDefault="000911BB" w:rsidP="007312F7">
      <w:pPr>
        <w:pStyle w:val="Heading1"/>
        <w:jc w:val="both"/>
      </w:pPr>
      <w:bookmarkStart w:id="57" w:name="_TOC69730"/>
      <w:bookmarkStart w:id="58" w:name="_Toc411525483"/>
      <w:bookmarkEnd w:id="57"/>
      <w:r>
        <w:lastRenderedPageBreak/>
        <w:t xml:space="preserve">Cross Cutting Issues </w:t>
      </w:r>
      <w:r w:rsidR="00A67EBA">
        <w:t>A</w:t>
      </w:r>
      <w:r>
        <w:t>ffect</w:t>
      </w:r>
      <w:r w:rsidR="008A1446">
        <w:t>ing</w:t>
      </w:r>
      <w:r>
        <w:t xml:space="preserve"> Maternal and Child Health in Africa</w:t>
      </w:r>
      <w:bookmarkEnd w:id="58"/>
    </w:p>
    <w:p w:rsidR="000911BB" w:rsidRDefault="000911BB" w:rsidP="007312F7">
      <w:pPr>
        <w:jc w:val="both"/>
      </w:pPr>
      <w:r>
        <w:t xml:space="preserve">Maternal and </w:t>
      </w:r>
      <w:r w:rsidR="00A67EBA">
        <w:t>c</w:t>
      </w:r>
      <w:r>
        <w:t>hild health is affected by a myriad of factors. Due to the degree in which women and children issues are interwoven in to the fabric of society, it is understandable that other spheres would have a noticeable effect in determining maternal and child mortality. This section will focus on how gender and power relations, education, agriculture and food security, and the economy influence maternal and child health.</w:t>
      </w:r>
    </w:p>
    <w:p w:rsidR="000911BB" w:rsidRDefault="000911BB" w:rsidP="007312F7">
      <w:pPr>
        <w:pStyle w:val="Heading2"/>
        <w:jc w:val="both"/>
      </w:pPr>
      <w:bookmarkStart w:id="59" w:name="_TOC70233"/>
      <w:bookmarkStart w:id="60" w:name="_Toc411525484"/>
      <w:bookmarkEnd w:id="59"/>
      <w:r>
        <w:t>Gender and Power Relations</w:t>
      </w:r>
      <w:bookmarkEnd w:id="60"/>
    </w:p>
    <w:p w:rsidR="000911BB" w:rsidRDefault="00754833" w:rsidP="007312F7">
      <w:pPr>
        <w:jc w:val="both"/>
      </w:pPr>
      <w:r>
        <w:t>Gender and power relations have direct effects on the access and utilisation of services by women. Gender discrimination within families, communities and societies (which lead to a low priority for the health of girls and women), compounded by lack of decision</w:t>
      </w:r>
      <w:r w:rsidR="00F5296C">
        <w:t xml:space="preserve"> </w:t>
      </w:r>
      <w:r>
        <w:t xml:space="preserve">making power and access to information can have severe effects on maternal health. Women are not freely able to access services due to cultural constraints, lack of finances, and limited involvement of male partners. Due to differences in power relations, women and children often </w:t>
      </w:r>
      <w:r w:rsidR="00565BD9">
        <w:t>endure the most</w:t>
      </w:r>
      <w:r>
        <w:t xml:space="preserve"> of violent acts; and are often powerless to report these to authorities.</w:t>
      </w:r>
      <w:r w:rsidR="00C54FD7">
        <w:t xml:space="preserve"> The prevalence of harmful </w:t>
      </w:r>
      <w:r w:rsidR="00544E40">
        <w:t xml:space="preserve">traditional </w:t>
      </w:r>
      <w:r w:rsidR="00C54FD7">
        <w:t xml:space="preserve">practices such as female genital mutilation </w:t>
      </w:r>
      <w:r w:rsidR="00544E40">
        <w:t xml:space="preserve">not only </w:t>
      </w:r>
      <w:r w:rsidR="00EC4AD0">
        <w:t>perpetuates</w:t>
      </w:r>
      <w:r w:rsidR="00C54FD7">
        <w:t xml:space="preserve"> gender imbalances</w:t>
      </w:r>
      <w:r w:rsidR="00544E40">
        <w:t xml:space="preserve"> but more importantly</w:t>
      </w:r>
      <w:r w:rsidR="00F5296C">
        <w:t xml:space="preserve"> </w:t>
      </w:r>
      <w:r w:rsidR="00C54FD7">
        <w:t>cause long term disabilities.</w:t>
      </w:r>
    </w:p>
    <w:p w:rsidR="00754833" w:rsidRDefault="00754833" w:rsidP="007312F7">
      <w:pPr>
        <w:jc w:val="both"/>
      </w:pPr>
    </w:p>
    <w:p w:rsidR="00CC58F5" w:rsidRDefault="00544E40" w:rsidP="007312F7">
      <w:pPr>
        <w:jc w:val="both"/>
      </w:pPr>
      <w:r>
        <w:t>Though well documented, t</w:t>
      </w:r>
      <w:r w:rsidR="00754833">
        <w:t xml:space="preserve">here are very few measures of gender relations and </w:t>
      </w:r>
      <w:r w:rsidR="00ED6518">
        <w:t>its effect on</w:t>
      </w:r>
      <w:r w:rsidR="00754833">
        <w:t xml:space="preserve"> maternal and child health. Countries often do not measure gender equity in </w:t>
      </w:r>
      <w:r w:rsidR="00E30E9D">
        <w:t>health</w:t>
      </w:r>
      <w:r w:rsidR="0044429D">
        <w:t>. T</w:t>
      </w:r>
      <w:r w:rsidR="00CC58F5">
        <w:t xml:space="preserve">racking </w:t>
      </w:r>
      <w:r w:rsidR="00ED6518">
        <w:t xml:space="preserve">sexual and gender based violence provides a good opportunity to interrogate its effect on the health of women and children. Most countries in the continent </w:t>
      </w:r>
      <w:r w:rsidR="00CC58F5">
        <w:t>have laws established that deal</w:t>
      </w:r>
      <w:r w:rsidR="00CC58F5" w:rsidRPr="00CC58F5">
        <w:t xml:space="preserve"> with sexual and gender based violence</w:t>
      </w:r>
      <w:r w:rsidR="00CC58F5">
        <w:t>.</w:t>
      </w:r>
      <w:r w:rsidR="0044429D">
        <w:t xml:space="preserve"> </w:t>
      </w:r>
      <w:r w:rsidR="00ED6518">
        <w:t>However,</w:t>
      </w:r>
      <w:r w:rsidR="00CC58F5">
        <w:t xml:space="preserve"> it is difficult to discern whether these are abided to, and the extent to which they are implemented.</w:t>
      </w:r>
    </w:p>
    <w:p w:rsidR="00CC58F5" w:rsidRDefault="00CC58F5" w:rsidP="007312F7">
      <w:pPr>
        <w:jc w:val="both"/>
      </w:pPr>
    </w:p>
    <w:p w:rsidR="0062573C" w:rsidRDefault="0062573C" w:rsidP="007312F7">
      <w:pPr>
        <w:pStyle w:val="Heading2"/>
        <w:jc w:val="both"/>
      </w:pPr>
      <w:bookmarkStart w:id="61" w:name="_TOC71862"/>
      <w:bookmarkStart w:id="62" w:name="_TOC72914"/>
      <w:bookmarkStart w:id="63" w:name="_Toc411525485"/>
      <w:bookmarkEnd w:id="61"/>
      <w:bookmarkEnd w:id="62"/>
      <w:r>
        <w:t>Education</w:t>
      </w:r>
      <w:bookmarkEnd w:id="63"/>
    </w:p>
    <w:p w:rsidR="0062573C" w:rsidRDefault="00D537B5" w:rsidP="007312F7">
      <w:pPr>
        <w:jc w:val="both"/>
      </w:pPr>
      <w:r>
        <w:t xml:space="preserve">Education is key to ending poverty and improving livelihoods among populations. Education is widely recognised as a major intervention in </w:t>
      </w:r>
      <w:r w:rsidR="00BE4B59">
        <w:t xml:space="preserve">improving </w:t>
      </w:r>
      <w:r>
        <w:t xml:space="preserve">health and </w:t>
      </w:r>
      <w:r w:rsidR="00BE4B59">
        <w:t xml:space="preserve">reducing </w:t>
      </w:r>
      <w:r>
        <w:t>poverty</w:t>
      </w:r>
      <w:r w:rsidR="007A071C">
        <w:t>.</w:t>
      </w:r>
    </w:p>
    <w:p w:rsidR="007A071C" w:rsidRDefault="007A071C" w:rsidP="007312F7">
      <w:pPr>
        <w:jc w:val="both"/>
      </w:pPr>
    </w:p>
    <w:p w:rsidR="007A071C" w:rsidRDefault="007A071C" w:rsidP="007312F7">
      <w:pPr>
        <w:jc w:val="both"/>
      </w:pPr>
      <w:r>
        <w:t>Maternal health outcomes have been shown to be worse in women with low educational attainment. There are several factors that could lead to this including</w:t>
      </w:r>
      <w:r w:rsidR="00396299">
        <w:t xml:space="preserve">; </w:t>
      </w:r>
      <w:r>
        <w:t xml:space="preserve">better understanding of health issues affecting pregnancy, more awareness of the need for skilled delivery, delay in onset of first sexual activity and pregnancy, more access to family planning services and improved socioeconomic status. Apart from formal education, nations should strive to improve awareness of health issues and importance of seeking </w:t>
      </w:r>
      <w:r w:rsidR="00DE2868">
        <w:t xml:space="preserve">health services from </w:t>
      </w:r>
      <w:r>
        <w:t>skilled health workers.</w:t>
      </w:r>
      <w:r w:rsidR="0044429D">
        <w:t xml:space="preserve"> </w:t>
      </w:r>
      <w:r>
        <w:t>Education is a fundamentally important intervention in the attainment of positive outcomes in maternal health.</w:t>
      </w:r>
    </w:p>
    <w:p w:rsidR="008B4910" w:rsidRDefault="0044429D" w:rsidP="007312F7">
      <w:pPr>
        <w:pStyle w:val="Heading2"/>
        <w:jc w:val="both"/>
      </w:pPr>
      <w:bookmarkStart w:id="64" w:name="_TOC73810"/>
      <w:bookmarkStart w:id="65" w:name="_TOC75136"/>
      <w:bookmarkStart w:id="66" w:name="_Toc411525486"/>
      <w:bookmarkEnd w:id="64"/>
      <w:bookmarkEnd w:id="65"/>
      <w:r>
        <w:t xml:space="preserve">Agriculture, </w:t>
      </w:r>
      <w:r w:rsidR="008B4910">
        <w:t>Food</w:t>
      </w:r>
      <w:r>
        <w:t xml:space="preserve"> and Nutrition</w:t>
      </w:r>
      <w:r w:rsidR="008B4910">
        <w:t xml:space="preserve"> Security</w:t>
      </w:r>
      <w:bookmarkEnd w:id="66"/>
    </w:p>
    <w:p w:rsidR="008B4910" w:rsidRDefault="008B4910" w:rsidP="007312F7">
      <w:pPr>
        <w:jc w:val="both"/>
      </w:pPr>
      <w:r>
        <w:t xml:space="preserve">Agriculture can have </w:t>
      </w:r>
      <w:r w:rsidR="00E20498">
        <w:t xml:space="preserve">several </w:t>
      </w:r>
      <w:r>
        <w:t>role</w:t>
      </w:r>
      <w:r w:rsidR="00E20498">
        <w:t>s</w:t>
      </w:r>
      <w:r>
        <w:t xml:space="preserve"> in health. </w:t>
      </w:r>
      <w:r w:rsidR="00E20498">
        <w:t>A</w:t>
      </w:r>
      <w:r>
        <w:t xml:space="preserve"> focus on agriculture</w:t>
      </w:r>
      <w:r w:rsidR="00DE2868">
        <w:t xml:space="preserve">, </w:t>
      </w:r>
      <w:r>
        <w:t xml:space="preserve">food </w:t>
      </w:r>
      <w:r w:rsidR="00DE2868">
        <w:t xml:space="preserve">and nutrition </w:t>
      </w:r>
      <w:r w:rsidR="00E20498">
        <w:t xml:space="preserve">security would improve the nutritional status of women and children, which have been shown to be extremely important in maternal and child health. </w:t>
      </w:r>
      <w:r w:rsidR="00E30E9D">
        <w:t>More than 50% of all childhood deaths under</w:t>
      </w:r>
      <w:r w:rsidR="00396299">
        <w:t>-</w:t>
      </w:r>
      <w:r w:rsidR="00E30E9D">
        <w:t>five</w:t>
      </w:r>
      <w:r w:rsidR="0044429D">
        <w:t xml:space="preserve"> </w:t>
      </w:r>
      <w:r w:rsidR="00E30E9D">
        <w:t xml:space="preserve">are linked to under nutrition. </w:t>
      </w:r>
      <w:r w:rsidR="00E20498">
        <w:t>It is therefore obvious that a focus on nutrition and agriculture can have a palpable effect on the reduction of child mortality.</w:t>
      </w:r>
      <w:r w:rsidR="0044429D">
        <w:t xml:space="preserve"> Nutrition security would ensure that women and children have access to the appropriate quantity and combination of </w:t>
      </w:r>
      <w:r w:rsidR="0044429D">
        <w:lastRenderedPageBreak/>
        <w:t xml:space="preserve">food, nutrition, health </w:t>
      </w:r>
      <w:r w:rsidR="0044429D" w:rsidRPr="0044429D">
        <w:t>services</w:t>
      </w:r>
      <w:r w:rsidR="0044429D">
        <w:t xml:space="preserve"> and </w:t>
      </w:r>
      <w:r w:rsidR="00396299">
        <w:t>caretaker’s</w:t>
      </w:r>
      <w:r w:rsidR="0044429D" w:rsidRPr="0044429D">
        <w:t xml:space="preserve"> time needed to ensure adequate nutrition status for an active and healthy life</w:t>
      </w:r>
      <w:r w:rsidR="0044429D">
        <w:t xml:space="preserve"> </w:t>
      </w:r>
      <w:r w:rsidR="0044429D" w:rsidRPr="0044429D">
        <w:t>at all times</w:t>
      </w:r>
      <w:r w:rsidR="0044429D">
        <w:t>.</w:t>
      </w:r>
    </w:p>
    <w:p w:rsidR="00E20498" w:rsidRDefault="00E20498" w:rsidP="007312F7">
      <w:pPr>
        <w:jc w:val="both"/>
      </w:pPr>
    </w:p>
    <w:p w:rsidR="00E20498" w:rsidRDefault="00E20498" w:rsidP="007312F7">
      <w:pPr>
        <w:jc w:val="both"/>
      </w:pPr>
      <w:r>
        <w:t>Agriculture can contribute to improving sustainable livelihoods and reduction of poverty. Families can have increased disposable income, which they can use for better health seeking options.</w:t>
      </w:r>
    </w:p>
    <w:p w:rsidR="00E20498" w:rsidRDefault="00E20498" w:rsidP="007312F7">
      <w:pPr>
        <w:jc w:val="both"/>
      </w:pPr>
    </w:p>
    <w:p w:rsidR="00E20498" w:rsidRDefault="00E20498" w:rsidP="007312F7">
      <w:pPr>
        <w:jc w:val="both"/>
      </w:pPr>
      <w:r>
        <w:t xml:space="preserve">Agricultural activities can </w:t>
      </w:r>
      <w:r w:rsidR="00111F18">
        <w:t>be</w:t>
      </w:r>
      <w:r>
        <w:t xml:space="preserve"> a conduit in which to deliver health services. Integrating agricultural interventions with health interventions can lead to increased utilisation of health facilities, increases in skilled delivery and eventually reduction in maternal mortality. Features that can be integrated include awareness</w:t>
      </w:r>
      <w:r w:rsidR="008E58A4">
        <w:t xml:space="preserve"> and knowledge promotion, family planning services, antenatal services and community outreach.</w:t>
      </w:r>
    </w:p>
    <w:p w:rsidR="008E58A4" w:rsidRDefault="008E58A4" w:rsidP="007312F7">
      <w:pPr>
        <w:jc w:val="both"/>
      </w:pPr>
    </w:p>
    <w:p w:rsidR="008E58A4" w:rsidRDefault="008E58A4" w:rsidP="007312F7">
      <w:pPr>
        <w:jc w:val="both"/>
      </w:pPr>
      <w:r>
        <w:t xml:space="preserve">Even though they can be seen as </w:t>
      </w:r>
      <w:r w:rsidR="00DE2868">
        <w:t xml:space="preserve">separate </w:t>
      </w:r>
      <w:r>
        <w:t>entities, integrating agricultural and maternal health services could lead to improved outcomes.</w:t>
      </w:r>
    </w:p>
    <w:p w:rsidR="008E58A4" w:rsidRDefault="008E58A4" w:rsidP="007312F7">
      <w:pPr>
        <w:jc w:val="both"/>
      </w:pPr>
    </w:p>
    <w:p w:rsidR="008E58A4" w:rsidRDefault="008E58A4" w:rsidP="007312F7">
      <w:pPr>
        <w:pStyle w:val="Heading2"/>
        <w:jc w:val="both"/>
      </w:pPr>
      <w:bookmarkStart w:id="67" w:name="_TOC76381"/>
      <w:bookmarkStart w:id="68" w:name="_Toc411525487"/>
      <w:bookmarkEnd w:id="67"/>
      <w:r>
        <w:t>Microeconomy</w:t>
      </w:r>
      <w:bookmarkEnd w:id="68"/>
    </w:p>
    <w:p w:rsidR="008E58A4" w:rsidRDefault="00CC35E8" w:rsidP="007312F7">
      <w:pPr>
        <w:jc w:val="both"/>
      </w:pPr>
      <w:r>
        <w:t>Microeconomic ventures in this respect refer</w:t>
      </w:r>
      <w:r w:rsidR="008E58A4">
        <w:t xml:space="preserve"> to various income generating activities and small holding enterprises that are undertaken in communities. There is a correlation between </w:t>
      </w:r>
      <w:r>
        <w:t>maternal</w:t>
      </w:r>
      <w:r w:rsidR="008E58A4">
        <w:t xml:space="preserve"> health </w:t>
      </w:r>
      <w:r>
        <w:t>outcomes</w:t>
      </w:r>
      <w:r w:rsidR="008E58A4">
        <w:t xml:space="preserve"> and income levels. Higher income earners often have better maternal health outcomes, are able to </w:t>
      </w:r>
      <w:r>
        <w:t xml:space="preserve">access health services and have children with healthier outcomes. Maternal health can be easily hampered by user fees, other health expenses and geographical </w:t>
      </w:r>
      <w:r w:rsidR="007F7902">
        <w:t>barriers</w:t>
      </w:r>
      <w:r>
        <w:t xml:space="preserve">. </w:t>
      </w:r>
    </w:p>
    <w:p w:rsidR="007F7902" w:rsidRDefault="007F7902" w:rsidP="007312F7">
      <w:pPr>
        <w:jc w:val="both"/>
      </w:pPr>
    </w:p>
    <w:p w:rsidR="007F7902" w:rsidRDefault="007F7902" w:rsidP="007312F7">
      <w:pPr>
        <w:jc w:val="both"/>
      </w:pPr>
      <w:r>
        <w:t xml:space="preserve">With the growth of most African economies, and the transition into middle income status, it is vital that the middle class is expanded; and adequate social safety nets are available for the most vulnerable to society. A focus on revitalising the local </w:t>
      </w:r>
      <w:r w:rsidR="00E30E9D">
        <w:t>economies</w:t>
      </w:r>
      <w:r>
        <w:t xml:space="preserve"> and reducing poverty will lead to dramatic reductions in maternal mortality.</w:t>
      </w:r>
    </w:p>
    <w:p w:rsidR="001631B1" w:rsidRDefault="001631B1" w:rsidP="007312F7">
      <w:pPr>
        <w:jc w:val="both"/>
      </w:pPr>
      <w:bookmarkStart w:id="69" w:name="_TOC77340"/>
      <w:bookmarkEnd w:id="69"/>
      <w:r>
        <w:br w:type="page"/>
      </w:r>
    </w:p>
    <w:p w:rsidR="007F7902" w:rsidRDefault="001631B1" w:rsidP="007312F7">
      <w:pPr>
        <w:pStyle w:val="Heading1"/>
        <w:jc w:val="both"/>
      </w:pPr>
      <w:bookmarkStart w:id="70" w:name="_TOC78053"/>
      <w:bookmarkStart w:id="71" w:name="_Toc411525488"/>
      <w:bookmarkEnd w:id="70"/>
      <w:r>
        <w:lastRenderedPageBreak/>
        <w:t xml:space="preserve">Low Cost and </w:t>
      </w:r>
      <w:r w:rsidR="00A67EBA">
        <w:t>H</w:t>
      </w:r>
      <w:r w:rsidR="00E30E9D">
        <w:t>igh</w:t>
      </w:r>
      <w:r w:rsidR="00C02579">
        <w:t xml:space="preserve"> </w:t>
      </w:r>
      <w:r w:rsidR="00A67EBA">
        <w:t>I</w:t>
      </w:r>
      <w:r>
        <w:t xml:space="preserve">mpact </w:t>
      </w:r>
      <w:r w:rsidR="00A67EBA">
        <w:t>I</w:t>
      </w:r>
      <w:r>
        <w:t>nterventions in MNCH</w:t>
      </w:r>
      <w:bookmarkEnd w:id="71"/>
    </w:p>
    <w:p w:rsidR="001631B1" w:rsidRDefault="00C02579" w:rsidP="007312F7">
      <w:pPr>
        <w:jc w:val="both"/>
      </w:pPr>
      <w:r>
        <w:t xml:space="preserve">In order to continue reducing the number of preventable maternal </w:t>
      </w:r>
      <w:r w:rsidR="000B3819">
        <w:t xml:space="preserve">and child </w:t>
      </w:r>
      <w:r>
        <w:t xml:space="preserve">deaths in Africa, it is vital to use low cost, but high impact interventions. These interventions can be easily introduced, scaled up or supported by nearly all </w:t>
      </w:r>
      <w:r w:rsidR="00396299">
        <w:t>Member States</w:t>
      </w:r>
      <w:r>
        <w:t xml:space="preserve">. </w:t>
      </w:r>
      <w:r w:rsidR="00801CFE">
        <w:t xml:space="preserve">This section </w:t>
      </w:r>
      <w:r>
        <w:t xml:space="preserve">thus </w:t>
      </w:r>
      <w:r w:rsidR="00801CFE">
        <w:t xml:space="preserve">provides an overview of low cost and high impact interventions in </w:t>
      </w:r>
      <w:r w:rsidR="00482FD8">
        <w:t>MNCH</w:t>
      </w:r>
      <w:r>
        <w:t xml:space="preserve">, also showing which aspects of the causes of maternal </w:t>
      </w:r>
      <w:r w:rsidR="000B3819">
        <w:t xml:space="preserve">and child </w:t>
      </w:r>
      <w:r>
        <w:t>mortality these interventions would target</w:t>
      </w:r>
      <w:r w:rsidR="00801CFE">
        <w:t xml:space="preserve">. </w:t>
      </w:r>
    </w:p>
    <w:p w:rsidR="00801CFE" w:rsidRDefault="00801CFE" w:rsidP="007312F7">
      <w:pPr>
        <w:jc w:val="both"/>
      </w:pPr>
    </w:p>
    <w:p w:rsidR="00801CFE" w:rsidRDefault="005733A8" w:rsidP="007312F7">
      <w:pPr>
        <w:jc w:val="both"/>
      </w:pPr>
      <w:r>
        <w:t xml:space="preserve">Table 6 </w:t>
      </w:r>
      <w:r w:rsidR="00801CFE">
        <w:t xml:space="preserve">shows a summary of the interventions, </w:t>
      </w:r>
      <w:r w:rsidR="00A44B2D">
        <w:t xml:space="preserve">the main components of the intervention, and which cause of maternal or child death would be targeted. </w:t>
      </w:r>
    </w:p>
    <w:p w:rsidR="00801CFE" w:rsidRDefault="00801CFE" w:rsidP="007312F7">
      <w:pPr>
        <w:jc w:val="both"/>
      </w:pPr>
    </w:p>
    <w:p w:rsidR="00193352" w:rsidRDefault="00193352" w:rsidP="007312F7">
      <w:pPr>
        <w:pStyle w:val="Caption"/>
        <w:keepNext/>
        <w:jc w:val="both"/>
      </w:pPr>
      <w:bookmarkStart w:id="72" w:name="TOC408292360"/>
      <w:bookmarkStart w:id="73" w:name="_Toc411525273"/>
      <w:r>
        <w:t xml:space="preserve">Table </w:t>
      </w:r>
      <w:fldSimple w:instr=" SEQ Table \* ARABIC ">
        <w:r w:rsidR="00943DB0">
          <w:rPr>
            <w:noProof/>
          </w:rPr>
          <w:t>6</w:t>
        </w:r>
      </w:fldSimple>
      <w:r>
        <w:t>: Low Cost, High Impact Interventions in MNCH</w:t>
      </w:r>
      <w:bookmarkEnd w:id="72"/>
      <w:bookmarkEnd w:id="73"/>
    </w:p>
    <w:tbl>
      <w:tblPr>
        <w:tblW w:w="4107" w:type="pct"/>
        <w:tblLook w:val="04A0" w:firstRow="1" w:lastRow="0" w:firstColumn="1" w:lastColumn="0" w:noHBand="0" w:noVBand="1"/>
      </w:tblPr>
      <w:tblGrid>
        <w:gridCol w:w="3138"/>
        <w:gridCol w:w="2482"/>
        <w:gridCol w:w="3666"/>
      </w:tblGrid>
      <w:tr w:rsidR="00145E56" w:rsidRPr="00915BC2" w:rsidTr="00145E56">
        <w:trPr>
          <w:trHeight w:val="525"/>
        </w:trPr>
        <w:tc>
          <w:tcPr>
            <w:tcW w:w="2026" w:type="pct"/>
            <w:tcBorders>
              <w:top w:val="single" w:sz="8" w:space="0" w:color="1F497D"/>
              <w:left w:val="single" w:sz="8" w:space="0" w:color="1F497D"/>
              <w:bottom w:val="single" w:sz="8" w:space="0" w:color="1F497D"/>
              <w:right w:val="single" w:sz="4" w:space="0" w:color="1F497D"/>
            </w:tcBorders>
            <w:shd w:val="clear" w:color="auto" w:fill="auto"/>
            <w:noWrap/>
            <w:vAlign w:val="bottom"/>
            <w:hideMark/>
          </w:tcPr>
          <w:p w:rsidR="00145E56" w:rsidRPr="00145E56" w:rsidRDefault="00145E56" w:rsidP="007312F7">
            <w:pPr>
              <w:jc w:val="both"/>
              <w:rPr>
                <w:rFonts w:ascii="Arial" w:hAnsi="Arial"/>
                <w:b/>
                <w:sz w:val="20"/>
              </w:rPr>
            </w:pPr>
            <w:r w:rsidRPr="00145E56">
              <w:rPr>
                <w:rFonts w:ascii="Arial" w:hAnsi="Arial"/>
                <w:b/>
                <w:sz w:val="20"/>
              </w:rPr>
              <w:t>Intervention</w:t>
            </w:r>
          </w:p>
        </w:tc>
        <w:tc>
          <w:tcPr>
            <w:tcW w:w="1620" w:type="pct"/>
            <w:tcBorders>
              <w:top w:val="single" w:sz="8" w:space="0" w:color="1F497D"/>
              <w:left w:val="nil"/>
              <w:bottom w:val="single" w:sz="8" w:space="0" w:color="1F497D"/>
              <w:right w:val="single" w:sz="4" w:space="0" w:color="1F497D"/>
            </w:tcBorders>
            <w:shd w:val="clear" w:color="auto" w:fill="auto"/>
            <w:noWrap/>
            <w:vAlign w:val="bottom"/>
            <w:hideMark/>
          </w:tcPr>
          <w:p w:rsidR="00145E56" w:rsidRPr="00145E56" w:rsidRDefault="00145E56" w:rsidP="007312F7">
            <w:pPr>
              <w:jc w:val="both"/>
              <w:rPr>
                <w:rFonts w:ascii="Arial" w:hAnsi="Arial"/>
                <w:b/>
                <w:sz w:val="20"/>
              </w:rPr>
            </w:pPr>
            <w:r w:rsidRPr="00145E56">
              <w:rPr>
                <w:rFonts w:ascii="Arial" w:hAnsi="Arial"/>
                <w:b/>
                <w:sz w:val="20"/>
              </w:rPr>
              <w:t>Main components</w:t>
            </w:r>
          </w:p>
        </w:tc>
        <w:tc>
          <w:tcPr>
            <w:tcW w:w="1354" w:type="pct"/>
            <w:tcBorders>
              <w:top w:val="single" w:sz="8" w:space="0" w:color="1F497D"/>
              <w:left w:val="nil"/>
              <w:bottom w:val="single" w:sz="8" w:space="0" w:color="1F497D"/>
              <w:right w:val="single" w:sz="4" w:space="0" w:color="1F497D"/>
            </w:tcBorders>
            <w:shd w:val="clear" w:color="auto" w:fill="auto"/>
            <w:vAlign w:val="bottom"/>
            <w:hideMark/>
          </w:tcPr>
          <w:p w:rsidR="00145E56" w:rsidRPr="00145E56" w:rsidRDefault="00145E56" w:rsidP="007312F7">
            <w:pPr>
              <w:jc w:val="both"/>
              <w:rPr>
                <w:rFonts w:ascii="Arial" w:hAnsi="Arial"/>
                <w:b/>
                <w:sz w:val="20"/>
              </w:rPr>
            </w:pPr>
            <w:r w:rsidRPr="00145E56">
              <w:rPr>
                <w:rFonts w:ascii="Arial" w:hAnsi="Arial"/>
                <w:b/>
                <w:sz w:val="20"/>
              </w:rPr>
              <w:t xml:space="preserve">Cause of Maternal, Neonatal or </w:t>
            </w:r>
            <w:r w:rsidRPr="00915BC2">
              <w:rPr>
                <w:rFonts w:ascii="Arial" w:eastAsia="Times New Roman" w:hAnsi="Arial" w:cs="Arial"/>
                <w:b/>
                <w:bCs/>
                <w:sz w:val="20"/>
                <w:szCs w:val="20"/>
                <w:lang w:eastAsia="en-GB"/>
              </w:rPr>
              <w:br/>
            </w:r>
            <w:r w:rsidRPr="00145E56">
              <w:rPr>
                <w:rFonts w:ascii="Arial" w:hAnsi="Arial"/>
                <w:b/>
                <w:sz w:val="20"/>
              </w:rPr>
              <w:t>Child death targeted</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Expansion of midwifery Training</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Pre service Training</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Haemorrhage</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In service training</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Pregnancy related hypertension</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Sepsis</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r w:rsidR="00A44B2D">
              <w:rPr>
                <w:rFonts w:ascii="Arial" w:eastAsia="Times New Roman" w:hAnsi="Arial" w:cs="Arial"/>
                <w:sz w:val="20"/>
                <w:szCs w:val="20"/>
                <w:lang w:eastAsia="en-GB"/>
              </w:rPr>
              <w:t>Deployment and Retention</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Unsafe abortion</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Obstructed labour</w:t>
            </w:r>
          </w:p>
        </w:tc>
      </w:tr>
      <w:tr w:rsidR="00145E56" w:rsidRPr="00915BC2" w:rsidTr="00145E56">
        <w:trPr>
          <w:trHeight w:val="255"/>
        </w:trPr>
        <w:tc>
          <w:tcPr>
            <w:tcW w:w="2026" w:type="pct"/>
            <w:tcBorders>
              <w:top w:val="nil"/>
              <w:left w:val="single" w:sz="8" w:space="0" w:color="1F497D"/>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Neonatal deaths</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Reduce the impact of unsafe </w:t>
            </w:r>
            <w:r w:rsidRPr="00915BC2">
              <w:rPr>
                <w:rFonts w:ascii="Arial" w:eastAsia="Times New Roman" w:hAnsi="Arial" w:cs="Arial"/>
                <w:sz w:val="20"/>
                <w:szCs w:val="20"/>
                <w:lang w:eastAsia="en-GB"/>
              </w:rPr>
              <w:t>abortion</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Training of providers</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Unsafe abortion</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Medical Equipment (MVA, D&amp;C)</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Pharmaceuticals</w:t>
            </w:r>
          </w:p>
        </w:tc>
        <w:tc>
          <w:tcPr>
            <w:tcW w:w="1354"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Prevention and Treatment of Postpartum</w:t>
            </w:r>
            <w:r>
              <w:rPr>
                <w:rFonts w:ascii="Arial" w:eastAsia="Times New Roman" w:hAnsi="Arial" w:cs="Arial"/>
                <w:sz w:val="20"/>
                <w:szCs w:val="20"/>
                <w:lang w:eastAsia="en-GB"/>
              </w:rPr>
              <w:t xml:space="preserve"> </w:t>
            </w:r>
            <w:r w:rsidRPr="00915BC2">
              <w:rPr>
                <w:rFonts w:ascii="Arial" w:eastAsia="Times New Roman" w:hAnsi="Arial" w:cs="Arial"/>
                <w:sz w:val="20"/>
                <w:szCs w:val="20"/>
                <w:lang w:eastAsia="en-GB"/>
              </w:rPr>
              <w:t>haemorrhage</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Training of providers</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Haemorrhage</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Medical Equipment (MVA, D&amp;C)</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Pharmaceuticals (misoprostol, oxytocin)</w:t>
            </w:r>
          </w:p>
        </w:tc>
        <w:tc>
          <w:tcPr>
            <w:tcW w:w="1354"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Intrapartum Obstetric interventions</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Partograph/ labour monitoring</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Obstructed labour, birth asphyxia</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Magnesium sulphate/ nifidepine</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Pregnancy related hypertension</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Antibiotics</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Sepsis</w:t>
            </w:r>
          </w:p>
        </w:tc>
      </w:tr>
      <w:tr w:rsidR="00145E56" w:rsidRPr="00915BC2" w:rsidTr="00145E56">
        <w:trPr>
          <w:trHeight w:val="255"/>
        </w:trPr>
        <w:tc>
          <w:tcPr>
            <w:tcW w:w="2026" w:type="pct"/>
            <w:tcBorders>
              <w:top w:val="nil"/>
              <w:left w:val="single" w:sz="8" w:space="0" w:color="1F497D"/>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Blood transfusion</w:t>
            </w:r>
          </w:p>
        </w:tc>
        <w:tc>
          <w:tcPr>
            <w:tcW w:w="1354"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Haemorrhage</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Intrapartum Neonatal interventions</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Corticosteroids for premature labour</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Birth asphyxia/ Prematurity</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Kangaroo care</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Low birth weight/ prematurity</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Neonatal resuscitation</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Birth asphyxia</w:t>
            </w:r>
          </w:p>
        </w:tc>
      </w:tr>
      <w:tr w:rsidR="00145E56" w:rsidRPr="00915BC2" w:rsidTr="00145E56">
        <w:trPr>
          <w:trHeight w:val="255"/>
        </w:trPr>
        <w:tc>
          <w:tcPr>
            <w:tcW w:w="2026" w:type="pct"/>
            <w:tcBorders>
              <w:top w:val="nil"/>
              <w:left w:val="single" w:sz="8" w:space="0" w:color="1F497D"/>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Antibiotics for neonatal sepsis</w:t>
            </w:r>
          </w:p>
        </w:tc>
        <w:tc>
          <w:tcPr>
            <w:tcW w:w="1354"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Sepsis</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Postpartum interventions</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Community pneumonia case management</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Pneumonia</w:t>
            </w:r>
          </w:p>
        </w:tc>
      </w:tr>
      <w:tr w:rsidR="00145E56" w:rsidRPr="00915BC2" w:rsidTr="00145E56">
        <w:trPr>
          <w:trHeight w:val="255"/>
        </w:trPr>
        <w:tc>
          <w:tcPr>
            <w:tcW w:w="2026" w:type="pct"/>
            <w:tcBorders>
              <w:top w:val="nil"/>
              <w:left w:val="single" w:sz="8" w:space="0" w:color="1F497D"/>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Community mobilisation and response</w:t>
            </w:r>
          </w:p>
        </w:tc>
        <w:tc>
          <w:tcPr>
            <w:tcW w:w="1354"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Multiple</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145E56" w:rsidRPr="00915BC2" w:rsidTr="00145E56">
        <w:trPr>
          <w:trHeight w:val="255"/>
        </w:trPr>
        <w:tc>
          <w:tcPr>
            <w:tcW w:w="2026" w:type="pct"/>
            <w:tcBorders>
              <w:top w:val="nil"/>
              <w:left w:val="single" w:sz="8" w:space="0" w:color="1F497D"/>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Maternal Death Audits and Surveillance</w:t>
            </w:r>
          </w:p>
        </w:tc>
        <w:tc>
          <w:tcPr>
            <w:tcW w:w="1620"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Systematic Data collection</w:t>
            </w:r>
          </w:p>
        </w:tc>
        <w:tc>
          <w:tcPr>
            <w:tcW w:w="1354" w:type="pct"/>
            <w:tcBorders>
              <w:top w:val="nil"/>
              <w:left w:val="nil"/>
              <w:bottom w:val="nil"/>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Multiple causes of maternal deaths</w:t>
            </w:r>
          </w:p>
        </w:tc>
      </w:tr>
      <w:tr w:rsidR="00465D14" w:rsidRPr="00915BC2" w:rsidTr="007312F7">
        <w:trPr>
          <w:trHeight w:val="270"/>
        </w:trPr>
        <w:tc>
          <w:tcPr>
            <w:tcW w:w="2026" w:type="pct"/>
            <w:tcBorders>
              <w:top w:val="nil"/>
              <w:left w:val="single" w:sz="8" w:space="0" w:color="1F497D"/>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c>
          <w:tcPr>
            <w:tcW w:w="1620"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Analysis of weaknesses in service delivery</w:t>
            </w:r>
          </w:p>
        </w:tc>
        <w:tc>
          <w:tcPr>
            <w:tcW w:w="1354" w:type="pct"/>
            <w:tcBorders>
              <w:top w:val="nil"/>
              <w:left w:val="nil"/>
              <w:bottom w:val="single" w:sz="4" w:space="0" w:color="1F497D"/>
              <w:right w:val="single" w:sz="4" w:space="0" w:color="1F497D"/>
            </w:tcBorders>
            <w:shd w:val="clear" w:color="auto" w:fill="auto"/>
            <w:noWrap/>
            <w:vAlign w:val="bottom"/>
            <w:hideMark/>
          </w:tcPr>
          <w:p w:rsidR="00145E56" w:rsidRPr="00915BC2" w:rsidRDefault="00145E56" w:rsidP="007312F7">
            <w:pPr>
              <w:jc w:val="both"/>
              <w:rPr>
                <w:rFonts w:ascii="Arial" w:eastAsia="Times New Roman" w:hAnsi="Arial" w:cs="Arial"/>
                <w:sz w:val="20"/>
                <w:szCs w:val="20"/>
                <w:lang w:eastAsia="en-GB"/>
              </w:rPr>
            </w:pPr>
            <w:r w:rsidRPr="00915BC2">
              <w:rPr>
                <w:rFonts w:ascii="Arial" w:eastAsia="Times New Roman" w:hAnsi="Arial" w:cs="Arial"/>
                <w:sz w:val="20"/>
                <w:szCs w:val="20"/>
                <w:lang w:eastAsia="en-GB"/>
              </w:rPr>
              <w:t> </w:t>
            </w:r>
          </w:p>
        </w:tc>
      </w:tr>
      <w:tr w:rsidR="00465D14" w:rsidRPr="00915BC2" w:rsidTr="007312F7">
        <w:trPr>
          <w:trHeight w:val="270"/>
        </w:trPr>
        <w:tc>
          <w:tcPr>
            <w:tcW w:w="2026" w:type="pct"/>
            <w:tcBorders>
              <w:top w:val="single" w:sz="4" w:space="0" w:color="1F497D"/>
              <w:left w:val="single" w:sz="8" w:space="0" w:color="1F497D"/>
              <w:right w:val="single" w:sz="4" w:space="0" w:color="1F497D"/>
            </w:tcBorders>
            <w:shd w:val="clear" w:color="auto" w:fill="auto"/>
            <w:noWrap/>
            <w:vAlign w:val="bottom"/>
          </w:tcPr>
          <w:p w:rsidR="006836CA" w:rsidRPr="00915BC2" w:rsidRDefault="006836CA"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Immunisation</w:t>
            </w:r>
          </w:p>
        </w:tc>
        <w:tc>
          <w:tcPr>
            <w:tcW w:w="1620" w:type="pct"/>
            <w:tcBorders>
              <w:top w:val="single" w:sz="4" w:space="0" w:color="1F497D"/>
              <w:left w:val="nil"/>
              <w:right w:val="single" w:sz="4" w:space="0" w:color="1F497D"/>
            </w:tcBorders>
            <w:shd w:val="clear" w:color="auto" w:fill="auto"/>
            <w:noWrap/>
            <w:vAlign w:val="bottom"/>
          </w:tcPr>
          <w:p w:rsidR="006836CA" w:rsidRPr="00915BC2" w:rsidRDefault="006836CA"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Expansion of immunisation programmes</w:t>
            </w:r>
          </w:p>
        </w:tc>
        <w:tc>
          <w:tcPr>
            <w:tcW w:w="1354" w:type="pct"/>
            <w:tcBorders>
              <w:top w:val="single" w:sz="4" w:space="0" w:color="1F497D"/>
              <w:left w:val="nil"/>
              <w:right w:val="single" w:sz="4" w:space="0" w:color="1F497D"/>
            </w:tcBorders>
            <w:shd w:val="clear" w:color="auto" w:fill="auto"/>
            <w:noWrap/>
            <w:vAlign w:val="bottom"/>
          </w:tcPr>
          <w:p w:rsidR="006836CA" w:rsidRPr="00915BC2" w:rsidRDefault="006836CA"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Infectious diseases including pneumonia, measles and diarrhoe</w:t>
            </w:r>
            <w:r w:rsidR="00465D14">
              <w:rPr>
                <w:rFonts w:ascii="Arial" w:eastAsia="Times New Roman" w:hAnsi="Arial" w:cs="Arial"/>
                <w:sz w:val="20"/>
                <w:szCs w:val="20"/>
                <w:lang w:eastAsia="en-GB"/>
              </w:rPr>
              <w:t>a</w:t>
            </w:r>
          </w:p>
        </w:tc>
      </w:tr>
      <w:tr w:rsidR="00465D14" w:rsidRPr="00915BC2" w:rsidTr="007312F7">
        <w:trPr>
          <w:trHeight w:val="270"/>
        </w:trPr>
        <w:tc>
          <w:tcPr>
            <w:tcW w:w="2026" w:type="pct"/>
            <w:tcBorders>
              <w:top w:val="nil"/>
              <w:left w:val="single" w:sz="8" w:space="0" w:color="1F497D"/>
              <w:bottom w:val="single" w:sz="4" w:space="0" w:color="1F497D"/>
              <w:right w:val="single" w:sz="4" w:space="0" w:color="1F497D"/>
            </w:tcBorders>
            <w:shd w:val="clear" w:color="auto" w:fill="auto"/>
            <w:noWrap/>
            <w:vAlign w:val="bottom"/>
          </w:tcPr>
          <w:p w:rsidR="006836CA" w:rsidRPr="00915BC2" w:rsidRDefault="006836CA" w:rsidP="007312F7">
            <w:pPr>
              <w:jc w:val="both"/>
              <w:rPr>
                <w:rFonts w:ascii="Arial" w:eastAsia="Times New Roman" w:hAnsi="Arial" w:cs="Arial"/>
                <w:sz w:val="20"/>
                <w:szCs w:val="20"/>
                <w:lang w:eastAsia="en-GB"/>
              </w:rPr>
            </w:pPr>
          </w:p>
        </w:tc>
        <w:tc>
          <w:tcPr>
            <w:tcW w:w="1620" w:type="pct"/>
            <w:tcBorders>
              <w:top w:val="nil"/>
              <w:left w:val="nil"/>
              <w:bottom w:val="single" w:sz="4" w:space="0" w:color="1F497D"/>
              <w:right w:val="single" w:sz="4" w:space="0" w:color="1F497D"/>
            </w:tcBorders>
            <w:shd w:val="clear" w:color="auto" w:fill="auto"/>
            <w:noWrap/>
            <w:vAlign w:val="bottom"/>
          </w:tcPr>
          <w:p w:rsidR="006836CA" w:rsidRPr="00915BC2" w:rsidRDefault="006836CA"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Use of novel vaccines</w:t>
            </w:r>
          </w:p>
        </w:tc>
        <w:tc>
          <w:tcPr>
            <w:tcW w:w="1354" w:type="pct"/>
            <w:tcBorders>
              <w:top w:val="nil"/>
              <w:left w:val="nil"/>
              <w:bottom w:val="single" w:sz="4" w:space="0" w:color="1F497D"/>
              <w:right w:val="single" w:sz="4" w:space="0" w:color="1F497D"/>
            </w:tcBorders>
            <w:shd w:val="clear" w:color="auto" w:fill="auto"/>
            <w:noWrap/>
            <w:vAlign w:val="bottom"/>
          </w:tcPr>
          <w:p w:rsidR="006836CA" w:rsidRPr="00915BC2" w:rsidRDefault="006836CA" w:rsidP="007312F7">
            <w:pPr>
              <w:jc w:val="both"/>
              <w:rPr>
                <w:rFonts w:ascii="Arial" w:eastAsia="Times New Roman" w:hAnsi="Arial" w:cs="Arial"/>
                <w:sz w:val="20"/>
                <w:szCs w:val="20"/>
                <w:lang w:eastAsia="en-GB"/>
              </w:rPr>
            </w:pPr>
          </w:p>
        </w:tc>
      </w:tr>
      <w:tr w:rsidR="006836CA" w:rsidRPr="00915BC2" w:rsidTr="007312F7">
        <w:trPr>
          <w:trHeight w:val="270"/>
        </w:trPr>
        <w:tc>
          <w:tcPr>
            <w:tcW w:w="2026" w:type="pct"/>
            <w:tcBorders>
              <w:top w:val="single" w:sz="4" w:space="0" w:color="1F497D"/>
              <w:left w:val="single" w:sz="8" w:space="0" w:color="1F497D"/>
              <w:bottom w:val="nil"/>
              <w:right w:val="single" w:sz="4" w:space="0" w:color="1F497D"/>
            </w:tcBorders>
            <w:shd w:val="clear" w:color="auto" w:fill="auto"/>
            <w:noWrap/>
            <w:vAlign w:val="bottom"/>
          </w:tcPr>
          <w:p w:rsidR="006836CA" w:rsidRPr="00915BC2" w:rsidRDefault="00465D14"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Nutrition</w:t>
            </w:r>
          </w:p>
        </w:tc>
        <w:tc>
          <w:tcPr>
            <w:tcW w:w="1620" w:type="pct"/>
            <w:tcBorders>
              <w:top w:val="single" w:sz="4" w:space="0" w:color="1F497D"/>
              <w:left w:val="nil"/>
              <w:bottom w:val="nil"/>
              <w:right w:val="single" w:sz="4" w:space="0" w:color="1F497D"/>
            </w:tcBorders>
            <w:shd w:val="clear" w:color="auto" w:fill="auto"/>
            <w:noWrap/>
            <w:vAlign w:val="bottom"/>
          </w:tcPr>
          <w:p w:rsidR="006836CA" w:rsidRDefault="00465D14"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Food fortification</w:t>
            </w:r>
          </w:p>
        </w:tc>
        <w:tc>
          <w:tcPr>
            <w:tcW w:w="1354" w:type="pct"/>
            <w:tcBorders>
              <w:top w:val="single" w:sz="4" w:space="0" w:color="1F497D"/>
              <w:left w:val="nil"/>
              <w:bottom w:val="nil"/>
              <w:right w:val="single" w:sz="4" w:space="0" w:color="1F497D"/>
            </w:tcBorders>
            <w:shd w:val="clear" w:color="auto" w:fill="auto"/>
            <w:noWrap/>
            <w:vAlign w:val="bottom"/>
          </w:tcPr>
          <w:p w:rsidR="006836CA" w:rsidRPr="00915BC2" w:rsidRDefault="00465D14"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Infectious diseases, decreased immunity</w:t>
            </w:r>
          </w:p>
        </w:tc>
      </w:tr>
      <w:tr w:rsidR="00465D14" w:rsidRPr="00915BC2" w:rsidTr="007312F7">
        <w:trPr>
          <w:trHeight w:val="270"/>
        </w:trPr>
        <w:tc>
          <w:tcPr>
            <w:tcW w:w="2026" w:type="pct"/>
            <w:tcBorders>
              <w:top w:val="nil"/>
              <w:left w:val="single" w:sz="8" w:space="0" w:color="1F497D"/>
              <w:bottom w:val="nil"/>
              <w:right w:val="single" w:sz="4" w:space="0" w:color="1F497D"/>
            </w:tcBorders>
            <w:shd w:val="clear" w:color="auto" w:fill="auto"/>
            <w:noWrap/>
            <w:vAlign w:val="bottom"/>
          </w:tcPr>
          <w:p w:rsidR="00465D14" w:rsidRPr="00915BC2" w:rsidRDefault="00465D14" w:rsidP="007312F7">
            <w:pPr>
              <w:jc w:val="both"/>
              <w:rPr>
                <w:rFonts w:ascii="Arial" w:eastAsia="Times New Roman" w:hAnsi="Arial" w:cs="Arial"/>
                <w:sz w:val="20"/>
                <w:szCs w:val="20"/>
                <w:lang w:eastAsia="en-GB"/>
              </w:rPr>
            </w:pPr>
          </w:p>
        </w:tc>
        <w:tc>
          <w:tcPr>
            <w:tcW w:w="1620" w:type="pct"/>
            <w:tcBorders>
              <w:top w:val="nil"/>
              <w:left w:val="nil"/>
              <w:bottom w:val="nil"/>
              <w:right w:val="single" w:sz="4" w:space="0" w:color="1F497D"/>
            </w:tcBorders>
            <w:shd w:val="clear" w:color="auto" w:fill="auto"/>
            <w:noWrap/>
            <w:vAlign w:val="bottom"/>
          </w:tcPr>
          <w:p w:rsidR="00465D14" w:rsidRDefault="00465D14"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Bio fortification</w:t>
            </w:r>
          </w:p>
        </w:tc>
        <w:tc>
          <w:tcPr>
            <w:tcW w:w="1354" w:type="pct"/>
            <w:tcBorders>
              <w:top w:val="nil"/>
              <w:left w:val="nil"/>
              <w:bottom w:val="nil"/>
              <w:right w:val="single" w:sz="4" w:space="0" w:color="1F497D"/>
            </w:tcBorders>
            <w:shd w:val="clear" w:color="auto" w:fill="auto"/>
            <w:noWrap/>
            <w:vAlign w:val="bottom"/>
          </w:tcPr>
          <w:p w:rsidR="00465D14" w:rsidRPr="00915BC2" w:rsidRDefault="00465D14"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Neonatal deaths</w:t>
            </w:r>
          </w:p>
        </w:tc>
      </w:tr>
      <w:tr w:rsidR="00465D14" w:rsidRPr="00915BC2" w:rsidTr="00145E56">
        <w:trPr>
          <w:trHeight w:val="270"/>
        </w:trPr>
        <w:tc>
          <w:tcPr>
            <w:tcW w:w="2026" w:type="pct"/>
            <w:tcBorders>
              <w:top w:val="nil"/>
              <w:left w:val="single" w:sz="8" w:space="0" w:color="1F497D"/>
              <w:bottom w:val="single" w:sz="8" w:space="0" w:color="1F497D"/>
              <w:right w:val="single" w:sz="4" w:space="0" w:color="1F497D"/>
            </w:tcBorders>
            <w:shd w:val="clear" w:color="auto" w:fill="auto"/>
            <w:noWrap/>
            <w:vAlign w:val="bottom"/>
          </w:tcPr>
          <w:p w:rsidR="00465D14" w:rsidRPr="00915BC2" w:rsidRDefault="00465D14" w:rsidP="007312F7">
            <w:pPr>
              <w:jc w:val="both"/>
              <w:rPr>
                <w:rFonts w:ascii="Arial" w:eastAsia="Times New Roman" w:hAnsi="Arial" w:cs="Arial"/>
                <w:sz w:val="20"/>
                <w:szCs w:val="20"/>
                <w:lang w:eastAsia="en-GB"/>
              </w:rPr>
            </w:pPr>
          </w:p>
        </w:tc>
        <w:tc>
          <w:tcPr>
            <w:tcW w:w="1620" w:type="pct"/>
            <w:tcBorders>
              <w:top w:val="nil"/>
              <w:left w:val="nil"/>
              <w:bottom w:val="single" w:sz="8" w:space="0" w:color="1F497D"/>
              <w:right w:val="single" w:sz="4" w:space="0" w:color="1F497D"/>
            </w:tcBorders>
            <w:shd w:val="clear" w:color="auto" w:fill="auto"/>
            <w:noWrap/>
            <w:vAlign w:val="bottom"/>
          </w:tcPr>
          <w:p w:rsidR="00465D14" w:rsidRDefault="00465D14" w:rsidP="007312F7">
            <w:pPr>
              <w:jc w:val="both"/>
              <w:rPr>
                <w:rFonts w:ascii="Arial" w:eastAsia="Times New Roman" w:hAnsi="Arial" w:cs="Arial"/>
                <w:sz w:val="20"/>
                <w:szCs w:val="20"/>
                <w:lang w:eastAsia="en-GB"/>
              </w:rPr>
            </w:pPr>
            <w:r>
              <w:rPr>
                <w:rFonts w:ascii="Arial" w:eastAsia="Times New Roman" w:hAnsi="Arial" w:cs="Arial"/>
                <w:sz w:val="20"/>
                <w:szCs w:val="20"/>
                <w:lang w:eastAsia="en-GB"/>
              </w:rPr>
              <w:t>Supplements for vulnerable populations</w:t>
            </w:r>
          </w:p>
        </w:tc>
        <w:tc>
          <w:tcPr>
            <w:tcW w:w="1354" w:type="pct"/>
            <w:tcBorders>
              <w:top w:val="nil"/>
              <w:left w:val="nil"/>
              <w:bottom w:val="single" w:sz="8" w:space="0" w:color="1F497D"/>
              <w:right w:val="single" w:sz="4" w:space="0" w:color="1F497D"/>
            </w:tcBorders>
            <w:shd w:val="clear" w:color="auto" w:fill="auto"/>
            <w:noWrap/>
            <w:vAlign w:val="bottom"/>
          </w:tcPr>
          <w:p w:rsidR="00465D14" w:rsidRPr="00915BC2" w:rsidRDefault="00465D14" w:rsidP="007312F7">
            <w:pPr>
              <w:jc w:val="both"/>
              <w:rPr>
                <w:rFonts w:ascii="Arial" w:eastAsia="Times New Roman" w:hAnsi="Arial" w:cs="Arial"/>
                <w:sz w:val="20"/>
                <w:szCs w:val="20"/>
                <w:lang w:eastAsia="en-GB"/>
              </w:rPr>
            </w:pPr>
          </w:p>
        </w:tc>
      </w:tr>
    </w:tbl>
    <w:p w:rsidR="00801CFE" w:rsidRPr="001631B1" w:rsidRDefault="00801CFE" w:rsidP="007312F7">
      <w:pPr>
        <w:jc w:val="both"/>
      </w:pPr>
    </w:p>
    <w:p w:rsidR="00801CFE" w:rsidRDefault="00567B02" w:rsidP="007312F7">
      <w:pPr>
        <w:pStyle w:val="Heading2"/>
        <w:jc w:val="both"/>
      </w:pPr>
      <w:bookmarkStart w:id="74" w:name="_TOC78477"/>
      <w:bookmarkStart w:id="75" w:name="_Toc411525489"/>
      <w:bookmarkEnd w:id="74"/>
      <w:r>
        <w:t xml:space="preserve">Expansion of </w:t>
      </w:r>
      <w:r w:rsidR="00A67EBA">
        <w:t>M</w:t>
      </w:r>
      <w:r w:rsidR="00081DAA">
        <w:t>id</w:t>
      </w:r>
      <w:r w:rsidR="00F74DB2">
        <w:t xml:space="preserve">wifery </w:t>
      </w:r>
      <w:r w:rsidR="00A67EBA">
        <w:t>T</w:t>
      </w:r>
      <w:r w:rsidR="00F74DB2">
        <w:t>raining</w:t>
      </w:r>
      <w:bookmarkEnd w:id="75"/>
    </w:p>
    <w:p w:rsidR="00567B02" w:rsidRDefault="00AD0166" w:rsidP="007312F7">
      <w:pPr>
        <w:jc w:val="both"/>
      </w:pPr>
      <w:r>
        <w:t>Increasing the number of midwives is one of the most important interventions that is required to increase the number of skilled deliveries on the African continent and reduce the maternal mortality</w:t>
      </w:r>
      <w:r w:rsidR="00373FF7">
        <w:fldChar w:fldCharType="begin" w:fldLock="1"/>
      </w:r>
      <w:r w:rsidR="009676BD">
        <w:instrText>ADDIN CSL_CITATION { "citationItems" : [ { "id" : "ITEM-1", "itemData" : { "author" : [ { "dropping-particle" : "", "family" : "African Union Commission", "given" : "", "non-dropping-particle" : "", "parse-names" : false, "suffix" : "" } ], "id" : "ITEM-1", "issued" : { "date-parts" : [ [ "2013" ] ] }, "title" : "Documenting Good Practices in Maternal , New Born and Child Health ( MNCH ) Interventions", "type" : "report" }, "uris" : [ "http://www.mendeley.com/documents/?uuid=3ed7af26-fc12-4faa-af8a-5f9ae5eb0fc6" ] } ], "mendeley" : { "formattedCitation" : "&lt;sup&gt;18&lt;/sup&gt;", "plainTextFormattedCitation" : "18", "previouslyFormattedCitation" : "&lt;sup&gt;18&lt;/sup&gt;" }, "properties" : { "noteIndex" : 0 }, "schema" : "https://github.com/citation-style-language/schema/raw/master/csl-citation.json" }</w:instrText>
      </w:r>
      <w:r w:rsidR="00373FF7">
        <w:fldChar w:fldCharType="separate"/>
      </w:r>
      <w:r w:rsidR="0044458F" w:rsidRPr="0044458F">
        <w:rPr>
          <w:noProof/>
          <w:vertAlign w:val="superscript"/>
        </w:rPr>
        <w:t>18</w:t>
      </w:r>
      <w:r w:rsidR="00373FF7">
        <w:fldChar w:fldCharType="end"/>
      </w:r>
      <w:r>
        <w:t xml:space="preserve">. </w:t>
      </w:r>
      <w:r w:rsidR="0054340F">
        <w:t xml:space="preserve">While skilled birth </w:t>
      </w:r>
      <w:r w:rsidR="0005182D">
        <w:t>attendants</w:t>
      </w:r>
      <w:r w:rsidR="0054340F">
        <w:t xml:space="preserve"> include other health cadres, w</w:t>
      </w:r>
      <w:r w:rsidR="0054340F" w:rsidRPr="00540682">
        <w:t>ell</w:t>
      </w:r>
      <w:r w:rsidR="0054340F">
        <w:t xml:space="preserve"> </w:t>
      </w:r>
      <w:r w:rsidR="0054340F" w:rsidRPr="00540682">
        <w:t>trained midwives could help avert roughly two</w:t>
      </w:r>
      <w:r w:rsidR="0054340F">
        <w:t>-</w:t>
      </w:r>
      <w:r w:rsidR="0054340F" w:rsidRPr="00540682">
        <w:t>thirds of al</w:t>
      </w:r>
      <w:r w:rsidR="0054340F">
        <w:t>l maternal and newborn deaths</w:t>
      </w:r>
      <w:r w:rsidR="0054340F">
        <w:fldChar w:fldCharType="begin" w:fldLock="1"/>
      </w:r>
      <w:r w:rsidR="009676BD">
        <w:instrText>ADDIN CSL_CITATION { "citationItems" : [ { "id" : "ITEM-1", "itemData" : { "author" : [ { "dropping-particle" : "", "family" : "UNFPA", "given" : "", "non-dropping-particle" : "", "parse-names" : false, "suffix" : "" } ], "id" : "ITEM-1", "issued" : { "date-parts" : [ [ "2008" ] ] }, "title" : "Investing in Midwives and Others with Midwifery Skills", "type" : "report" }, "uris" : [ "http://www.mendeley.com/documents/?uuid=de120581-c4df-4794-b668-b54684d739c3" ] } ], "mendeley" : { "formattedCitation" : "&lt;sup&gt;19&lt;/sup&gt;", "plainTextFormattedCitation" : "19", "previouslyFormattedCitation" : "&lt;sup&gt;19&lt;/sup&gt;" }, "properties" : { "noteIndex" : 0 }, "schema" : "https://github.com/citation-style-language/schema/raw/master/csl-citation.json" }</w:instrText>
      </w:r>
      <w:r w:rsidR="0054340F">
        <w:fldChar w:fldCharType="separate"/>
      </w:r>
      <w:r w:rsidR="0044458F" w:rsidRPr="0044458F">
        <w:rPr>
          <w:noProof/>
          <w:vertAlign w:val="superscript"/>
        </w:rPr>
        <w:t>19</w:t>
      </w:r>
      <w:r w:rsidR="0054340F">
        <w:fldChar w:fldCharType="end"/>
      </w:r>
      <w:r w:rsidR="0054340F">
        <w:t xml:space="preserve">. </w:t>
      </w:r>
      <w:r w:rsidR="00081DAA">
        <w:t xml:space="preserve">Midwives are key to the reduction of maternal </w:t>
      </w:r>
      <w:r w:rsidR="00F74DB2">
        <w:t>mortality</w:t>
      </w:r>
      <w:r w:rsidR="00081DAA">
        <w:t xml:space="preserve">. In tandem, </w:t>
      </w:r>
      <w:r w:rsidR="00F74DB2">
        <w:t>availability</w:t>
      </w:r>
      <w:r w:rsidR="00081DAA">
        <w:t xml:space="preserve"> of medical doctors or clinical officers who are able to perform surgical </w:t>
      </w:r>
      <w:r w:rsidR="00F74DB2">
        <w:t>interventions</w:t>
      </w:r>
      <w:r w:rsidR="00081DAA">
        <w:t xml:space="preserve"> would complete the package for emergency obstetric and neonatal care.</w:t>
      </w:r>
    </w:p>
    <w:p w:rsidR="00081DAA" w:rsidRDefault="00081DAA" w:rsidP="007312F7">
      <w:pPr>
        <w:jc w:val="both"/>
      </w:pPr>
    </w:p>
    <w:p w:rsidR="00540682" w:rsidRDefault="007A5327" w:rsidP="007312F7">
      <w:pPr>
        <w:jc w:val="both"/>
      </w:pPr>
      <w:r>
        <w:t>There are different models that are applicable to training of midwives. These then broadly fall under</w:t>
      </w:r>
      <w:r w:rsidR="00396299">
        <w:t xml:space="preserve">; </w:t>
      </w:r>
      <w:r>
        <w:t>in</w:t>
      </w:r>
      <w:r w:rsidR="00396299">
        <w:t>-</w:t>
      </w:r>
      <w:r>
        <w:t xml:space="preserve">service training to </w:t>
      </w:r>
      <w:r w:rsidR="00396299">
        <w:t>up skill</w:t>
      </w:r>
      <w:r>
        <w:t xml:space="preserve"> existing nurses and midwives or pre</w:t>
      </w:r>
      <w:r w:rsidR="00396299">
        <w:t>-</w:t>
      </w:r>
      <w:r>
        <w:t xml:space="preserve">service training to increase the overall number of new midwives. </w:t>
      </w:r>
      <w:r w:rsidR="00540682">
        <w:t>Ideally, a hybrid of the two would be useful</w:t>
      </w:r>
      <w:r w:rsidR="0054340F">
        <w:t>. I</w:t>
      </w:r>
      <w:r w:rsidR="00540682">
        <w:t>n</w:t>
      </w:r>
      <w:r w:rsidR="00396299">
        <w:t>-</w:t>
      </w:r>
      <w:r w:rsidR="00540682">
        <w:t xml:space="preserve">service training </w:t>
      </w:r>
      <w:r w:rsidR="0054340F">
        <w:t xml:space="preserve">would </w:t>
      </w:r>
      <w:r w:rsidR="00540682">
        <w:t>cover the short term requirements, and pre</w:t>
      </w:r>
      <w:r w:rsidR="00396299">
        <w:t>-</w:t>
      </w:r>
      <w:r w:rsidR="00540682">
        <w:t xml:space="preserve">service training for longer term requirements. It would be useful to explore the notion of community midwives, who would be roaming and providing antenatal care </w:t>
      </w:r>
      <w:r w:rsidR="00947FAC">
        <w:t xml:space="preserve">in the communities </w:t>
      </w:r>
      <w:r w:rsidR="00540682">
        <w:t xml:space="preserve">and </w:t>
      </w:r>
      <w:r w:rsidR="00947FAC">
        <w:t>referral</w:t>
      </w:r>
      <w:r w:rsidR="00396299">
        <w:t xml:space="preserve"> </w:t>
      </w:r>
      <w:r w:rsidR="00947FAC">
        <w:t>to health facilities</w:t>
      </w:r>
      <w:r w:rsidR="00540682">
        <w:t xml:space="preserve">. </w:t>
      </w:r>
      <w:r w:rsidR="007235E6">
        <w:t>The training of midwives has to be supported by adequate policy changes in the countries.</w:t>
      </w:r>
    </w:p>
    <w:p w:rsidR="00A44B2D" w:rsidRDefault="00A44B2D" w:rsidP="007312F7">
      <w:pPr>
        <w:jc w:val="both"/>
      </w:pPr>
    </w:p>
    <w:p w:rsidR="00A44B2D" w:rsidRDefault="00A44B2D" w:rsidP="007312F7">
      <w:pPr>
        <w:jc w:val="both"/>
      </w:pPr>
      <w:r>
        <w:t>Furth</w:t>
      </w:r>
      <w:r w:rsidR="00D629F1">
        <w:t>ermore, there needs to be policies that will ensure the retention of midwives, and redeployment in areas of need. Rural areas often have a dearth of skilled health workers, thus policies that encourage</w:t>
      </w:r>
      <w:r>
        <w:t xml:space="preserve"> </w:t>
      </w:r>
      <w:r w:rsidR="00D629F1">
        <w:t>re</w:t>
      </w:r>
      <w:r>
        <w:t xml:space="preserve">distribution of midwives </w:t>
      </w:r>
      <w:r w:rsidR="00BF2EF7">
        <w:t xml:space="preserve">between rural and urban areas. These policies could combine financial and </w:t>
      </w:r>
      <w:r w:rsidR="00396299">
        <w:t>non-financial</w:t>
      </w:r>
      <w:r w:rsidR="00BF2EF7">
        <w:t xml:space="preserve"> incentives according to the specific context. </w:t>
      </w:r>
    </w:p>
    <w:p w:rsidR="00540682" w:rsidRDefault="00540682" w:rsidP="007312F7">
      <w:pPr>
        <w:jc w:val="both"/>
      </w:pPr>
    </w:p>
    <w:p w:rsidR="00081DAA" w:rsidRDefault="00540682" w:rsidP="007312F7">
      <w:pPr>
        <w:jc w:val="both"/>
      </w:pPr>
      <w:r>
        <w:t>Costs for training midwives vary cons</w:t>
      </w:r>
      <w:r w:rsidR="007235E6">
        <w:t xml:space="preserve">iderably between various countries. </w:t>
      </w:r>
      <w:r w:rsidR="007A5327">
        <w:t xml:space="preserve">It is evident though that investing in midwifery training always results in superior returns on investment and benefits. </w:t>
      </w:r>
      <w:r w:rsidR="00015764">
        <w:t xml:space="preserve">It is estimated that </w:t>
      </w:r>
      <w:r w:rsidR="00947FAC">
        <w:t xml:space="preserve">the </w:t>
      </w:r>
      <w:r w:rsidR="00015764">
        <w:t>returns on investment on midwifery education, with deployment to community</w:t>
      </w:r>
      <w:r w:rsidR="0054340F">
        <w:t xml:space="preserve"> </w:t>
      </w:r>
      <w:r w:rsidR="00015764">
        <w:t xml:space="preserve">based services, could yield a 16 fold return in terms of lives saved and costs of </w:t>
      </w:r>
      <w:r w:rsidR="00A67EBA">
        <w:t>C</w:t>
      </w:r>
      <w:r w:rsidR="00015764">
        <w:t xml:space="preserve">aesarean sections avoided </w:t>
      </w:r>
      <w:r w:rsidR="00373FF7">
        <w:fldChar w:fldCharType="begin" w:fldLock="1"/>
      </w:r>
      <w:r w:rsidR="009676BD">
        <w:instrText>ADDIN CSL_CITATION { "citationItems" : [ { "id" : "ITEM-1", "itemData" : { "author" : [ { "dropping-particle" : "", "family" : "UNFPA", "given" : "", "non-dropping-particle" : "", "parse-names" : false, "suffix" : "" } ], "id" : "ITEM-1", "issued" : { "date-parts" : [ [ "2014" ] ] }, "title" : "The State of the World's Midwifery 2014", "type" : "report" }, "uris" : [ "http://www.mendeley.com/documents/?uuid=d672e52b-a13a-47cd-b2f7-f63536d4b166" ] } ], "mendeley" : { "formattedCitation" : "&lt;sup&gt;20&lt;/sup&gt;", "plainTextFormattedCitation" : "20", "previouslyFormattedCitation" : "&lt;sup&gt;20&lt;/sup&gt;" }, "properties" : { "noteIndex" : 0 }, "schema" : "https://github.com/citation-style-language/schema/raw/master/csl-citation.json" }</w:instrText>
      </w:r>
      <w:r w:rsidR="00373FF7">
        <w:fldChar w:fldCharType="separate"/>
      </w:r>
      <w:r w:rsidR="0044458F" w:rsidRPr="0044458F">
        <w:rPr>
          <w:noProof/>
          <w:vertAlign w:val="superscript"/>
        </w:rPr>
        <w:t>20</w:t>
      </w:r>
      <w:r w:rsidR="00373FF7">
        <w:fldChar w:fldCharType="end"/>
      </w:r>
      <w:r w:rsidR="00015764">
        <w:t>.</w:t>
      </w:r>
    </w:p>
    <w:p w:rsidR="0054340F" w:rsidRDefault="0054340F" w:rsidP="007312F7">
      <w:pPr>
        <w:jc w:val="both"/>
      </w:pPr>
    </w:p>
    <w:p w:rsidR="0054340F" w:rsidRDefault="0054340F" w:rsidP="007312F7">
      <w:pPr>
        <w:jc w:val="both"/>
      </w:pPr>
      <w:bookmarkStart w:id="76" w:name="_TOC80284"/>
      <w:bookmarkEnd w:id="76"/>
      <w:r>
        <w:t xml:space="preserve">The increase in the number of midwives and other skilled birth </w:t>
      </w:r>
      <w:r w:rsidR="0005182D">
        <w:t>attendants</w:t>
      </w:r>
      <w:r>
        <w:t xml:space="preserve"> should be complimented by activities to reduce home deliveries. These would include community mobilisation, voucher schemes and social insurance.</w:t>
      </w:r>
    </w:p>
    <w:p w:rsidR="004A68D9" w:rsidRDefault="004A68D9" w:rsidP="007312F7">
      <w:pPr>
        <w:jc w:val="both"/>
      </w:pPr>
    </w:p>
    <w:p w:rsidR="004A68D9" w:rsidRDefault="00C52218" w:rsidP="007312F7">
      <w:pPr>
        <w:pStyle w:val="Heading2"/>
        <w:jc w:val="both"/>
      </w:pPr>
      <w:bookmarkStart w:id="77" w:name="_Toc411525490"/>
      <w:r>
        <w:t>Reduce the impact of</w:t>
      </w:r>
      <w:r w:rsidR="00867633">
        <w:t xml:space="preserve"> </w:t>
      </w:r>
      <w:r>
        <w:t>uns</w:t>
      </w:r>
      <w:r w:rsidR="00867633">
        <w:t xml:space="preserve">afe </w:t>
      </w:r>
      <w:r>
        <w:t>a</w:t>
      </w:r>
      <w:r w:rsidR="00867633">
        <w:t>bortion</w:t>
      </w:r>
      <w:bookmarkEnd w:id="77"/>
    </w:p>
    <w:p w:rsidR="00B56F2B" w:rsidRDefault="00867633" w:rsidP="007312F7">
      <w:pPr>
        <w:jc w:val="both"/>
      </w:pPr>
      <w:r>
        <w:t xml:space="preserve">Unsafe abortion accounts for nearly 13% of all maternal deaths. Almost 21 million women worldwide undergo an unsafe </w:t>
      </w:r>
      <w:r w:rsidR="00E30E9D">
        <w:t>abortion;</w:t>
      </w:r>
      <w:r>
        <w:t xml:space="preserve"> about 17 million of these are in low income countries. The annual abortion rate is about 14 per 1000 women aged 15 – 44 years old </w:t>
      </w:r>
      <w:r w:rsidR="00373FF7">
        <w:fldChar w:fldCharType="begin" w:fldLock="1"/>
      </w:r>
      <w:r w:rsidR="009676BD">
        <w:instrText>ADDIN CSL_CITATION { "citationItems" : [ { "id" : "ITEM-1", "itemData" : { "author" : [ { "dropping-particle" : "", "family" : "World Health Organisation", "given" : "", "non-dropping-particle" : "", "parse-names" : false, "suffix" : "" } ], "id" : "ITEM-1", "issued" : { "date-parts" : [ [ "2008" ] ] }, "title" : "Unsafe abortion: Global and regional estimates of the incidence of unsafe abortion and associated mortality in 2008", "type" : "report" }, "uris" : [ "http://www.mendeley.com/documents/?uuid=e5bcb620-25f6-4bde-b20a-74a8e405432f" ] } ], "mendeley" : { "formattedCitation" : "&lt;sup&gt;21&lt;/sup&gt;", "plainTextFormattedCitation" : "21", "previouslyFormattedCitation" : "&lt;sup&gt;21&lt;/sup&gt;" }, "properties" : { "noteIndex" : 0 }, "schema" : "https://github.com/citation-style-language/schema/raw/master/csl-citation.json" }</w:instrText>
      </w:r>
      <w:r w:rsidR="00373FF7">
        <w:fldChar w:fldCharType="separate"/>
      </w:r>
      <w:r w:rsidR="0044458F" w:rsidRPr="0044458F">
        <w:rPr>
          <w:noProof/>
          <w:vertAlign w:val="superscript"/>
        </w:rPr>
        <w:t>21</w:t>
      </w:r>
      <w:r w:rsidR="00373FF7">
        <w:fldChar w:fldCharType="end"/>
      </w:r>
      <w:r w:rsidR="0059699C">
        <w:t>.</w:t>
      </w:r>
      <w:r>
        <w:t xml:space="preserve"> Unsafe abortion causes more than 47,000 deaths a year; but also leaves thousands other women with long term injuries. </w:t>
      </w:r>
      <w:r w:rsidR="00BF2EF7">
        <w:t>The long term injuries resulting from post abortion complications can be quite severe including sepsis, pelvic infections, haemorrhage and abdominal injury</w:t>
      </w:r>
      <w:r w:rsidR="00B56F2B">
        <w:fldChar w:fldCharType="begin" w:fldLock="1"/>
      </w:r>
      <w:r w:rsidR="009676BD">
        <w:instrText>ADDIN CSL_CITATION { "citationItems" : [ { "id" : "ITEM-1", "itemData" : { "author" : [ { "dropping-particle" : "", "family" : "Henshaw", "given" : "Stanley", "non-dropping-particle" : "", "parse-names" : false, "suffix" : "" }, { "dropping-particle" : "", "family" : "Adewole", "given" : "Isaac", "non-dropping-particle" : "", "parse-names" : false, "suffix" : "" }, { "dropping-particle" : "", "family" : "Singh", "given" : "Susheela", "non-dropping-particle" : "", "parse-names" : false, "suffix" : "" }, { "dropping-particle" : "", "family" : "Bankole", "given" : "Akinrinola", "non-dropping-particle" : "", "parse-names" : false, "suffix" : "" }, { "dropping-particle" : "", "family" : "Oye-Adeniran", "given" : "Boniface", "non-dropping-particle" : "", "parse-names" : false, "suffix" : "" }, { "dropping-particle" : "", "family" : "Hussain", "given" : "Rubina", "non-dropping-particle" : "", "parse-names" : false, "suffix" : "" } ], "container-title" : "International Family Planning Perspectives", "id" : "ITEM-1", "issue" : "1", "issued" : { "date-parts" : [ [ "2008" ] ] }, "title" : "Severity and Cost of Unsafe Abortion Complications Treated in Nigerian Hospitals", "type" : "article-journal", "volume" : "34" }, "uris" : [ "http://www.mendeley.com/documents/?uuid=9a9c9fea-b586-49fe-96db-090892a755b4" ] } ], "mendeley" : { "formattedCitation" : "&lt;sup&gt;22&lt;/sup&gt;", "plainTextFormattedCitation" : "22", "previouslyFormattedCitation" : "&lt;sup&gt;22&lt;/sup&gt;" }, "properties" : { "noteIndex" : 0 }, "schema" : "https://github.com/citation-style-language/schema/raw/master/csl-citation.json" }</w:instrText>
      </w:r>
      <w:r w:rsidR="00B56F2B">
        <w:fldChar w:fldCharType="separate"/>
      </w:r>
      <w:r w:rsidR="0044458F" w:rsidRPr="0044458F">
        <w:rPr>
          <w:noProof/>
          <w:vertAlign w:val="superscript"/>
        </w:rPr>
        <w:t>22</w:t>
      </w:r>
      <w:r w:rsidR="00B56F2B">
        <w:fldChar w:fldCharType="end"/>
      </w:r>
      <w:r w:rsidR="00B56F2B">
        <w:t>.</w:t>
      </w:r>
      <w:r w:rsidR="00BF2EF7">
        <w:t xml:space="preserve"> </w:t>
      </w:r>
      <w:r w:rsidR="00BF2EF7">
        <w:lastRenderedPageBreak/>
        <w:t xml:space="preserve">The management of the sequelae resulting from post abortion complications further </w:t>
      </w:r>
      <w:r w:rsidR="00B56F2B">
        <w:t xml:space="preserve">reduces the availability of health </w:t>
      </w:r>
      <w:r w:rsidR="00BF2EF7">
        <w:t>resources</w:t>
      </w:r>
      <w:r w:rsidR="00B56F2B">
        <w:t xml:space="preserve"> and is more costly</w:t>
      </w:r>
      <w:r w:rsidR="00BF2EF7">
        <w:t xml:space="preserve">. </w:t>
      </w:r>
    </w:p>
    <w:p w:rsidR="00B56F2B" w:rsidRDefault="00B56F2B" w:rsidP="007312F7">
      <w:pPr>
        <w:jc w:val="both"/>
      </w:pPr>
    </w:p>
    <w:p w:rsidR="00BF2EF7" w:rsidRDefault="00867633" w:rsidP="007312F7">
      <w:pPr>
        <w:jc w:val="both"/>
      </w:pPr>
      <w:r>
        <w:t xml:space="preserve">Within the confines of national legislature, </w:t>
      </w:r>
      <w:r w:rsidR="00C52218">
        <w:t xml:space="preserve">reducing the impact of unsafe abortion </w:t>
      </w:r>
      <w:r>
        <w:t>is a key intervention to reducing maternal mortality.</w:t>
      </w:r>
      <w:r w:rsidR="0059699C">
        <w:t xml:space="preserve"> </w:t>
      </w:r>
      <w:r w:rsidR="00C52218">
        <w:t xml:space="preserve">This </w:t>
      </w:r>
      <w:r w:rsidR="0059699C">
        <w:t xml:space="preserve">requires interaction between several factors including communication of policies (all African countries permit abortion to save the life of mothers), societal and </w:t>
      </w:r>
      <w:r w:rsidR="00E30E9D">
        <w:t>health worker</w:t>
      </w:r>
      <w:r w:rsidR="0059699C">
        <w:t xml:space="preserve"> biases. Abortion will always be a highly emotive subject, but </w:t>
      </w:r>
      <w:r w:rsidR="00747A9C">
        <w:t xml:space="preserve">improving </w:t>
      </w:r>
      <w:r w:rsidR="0059699C">
        <w:t>access to safe abortion will lead to r</w:t>
      </w:r>
      <w:r w:rsidR="00372747">
        <w:t>eductions in maternal mortality; thus Governments need to deal with unsafe abortion as a major public health concern.</w:t>
      </w:r>
    </w:p>
    <w:p w:rsidR="00867633" w:rsidRDefault="00867633" w:rsidP="007312F7">
      <w:pPr>
        <w:jc w:val="both"/>
      </w:pPr>
    </w:p>
    <w:p w:rsidR="00867633" w:rsidRDefault="00372747" w:rsidP="007312F7">
      <w:pPr>
        <w:jc w:val="both"/>
      </w:pPr>
      <w:r>
        <w:t xml:space="preserve">The cost estimates are difficult to ascertain, and vary according to the readiness or strength of the existing health system. It is estimated that morbidity arising from unsafe abortion can cost health services US$114 per case in Africa and </w:t>
      </w:r>
      <w:r w:rsidR="005F70D8">
        <w:t xml:space="preserve">each </w:t>
      </w:r>
      <w:r>
        <w:t xml:space="preserve">year, an estimated five million women worldwide are hospitalised for the treatment of abortion complications, at a cost of at least US$460 million </w:t>
      </w:r>
      <w:r w:rsidR="00373FF7">
        <w:fldChar w:fldCharType="begin" w:fldLock="1"/>
      </w:r>
      <w:r w:rsidR="009676BD">
        <w:instrText>ADDIN CSL_CITATION { "citationItems" : [ { "id" : "ITEM-1", "itemData" : { "author" : [ { "dropping-particle" : "", "family" : "Cohen", "given" : "Susan", "non-dropping-particle" : "", "parse-names" : false, "suffix" : "" } ], "container-title" : "Guttmacher Policy Review", "id" : "ITEM-1", "issue" : "4", "issued" : { "date-parts" : [ [ "2009" ] ] }, "title" : "Facts and Consequences: Legality, Incidence and Safety of Abortion Worldwide", "type" : "article-journal", "volume" : "12" }, "uris" : [ "http://www.mendeley.com/documents/?uuid=3e8ee4fe-ca47-42ee-9a8b-73d5017321f4" ] } ], "mendeley" : { "formattedCitation" : "&lt;sup&gt;23&lt;/sup&gt;", "plainTextFormattedCitation" : "23", "previouslyFormattedCitation" : "&lt;sup&gt;23&lt;/sup&gt;" }, "properties" : { "noteIndex" : 0 }, "schema" : "https://github.com/citation-style-language/schema/raw/master/csl-citation.json" }</w:instrText>
      </w:r>
      <w:r w:rsidR="00373FF7">
        <w:fldChar w:fldCharType="separate"/>
      </w:r>
      <w:r w:rsidR="0044458F" w:rsidRPr="0044458F">
        <w:rPr>
          <w:noProof/>
          <w:vertAlign w:val="superscript"/>
        </w:rPr>
        <w:t>23</w:t>
      </w:r>
      <w:r w:rsidR="00373FF7">
        <w:fldChar w:fldCharType="end"/>
      </w:r>
      <w:r w:rsidR="00FF311F">
        <w:t xml:space="preserve">. </w:t>
      </w:r>
      <w:r w:rsidR="007A5327">
        <w:t xml:space="preserve">The cost per case reduces when there is </w:t>
      </w:r>
      <w:r w:rsidR="00747A9C">
        <w:t xml:space="preserve">suitable access to </w:t>
      </w:r>
      <w:r w:rsidR="007A5327">
        <w:t xml:space="preserve">abortion services. </w:t>
      </w:r>
      <w:r w:rsidR="00FF311F">
        <w:t>The mean per</w:t>
      </w:r>
      <w:r w:rsidR="00747A9C">
        <w:t xml:space="preserve"> </w:t>
      </w:r>
      <w:r w:rsidR="00FF311F">
        <w:t xml:space="preserve">case cost of abortion care is as US$ 45 in a scenario where abortion was restricted and complications were mainly treated at the </w:t>
      </w:r>
      <w:r w:rsidR="00747A9C">
        <w:t>tertiary level, however, this i</w:t>
      </w:r>
      <w:r w:rsidR="00FF311F">
        <w:t xml:space="preserve">s reduced to US$ 25 when services were available at all service levels and mid-level providers treated approximately 60% of patients </w:t>
      </w:r>
      <w:r w:rsidR="00373FF7">
        <w:fldChar w:fldCharType="begin" w:fldLock="1"/>
      </w:r>
      <w:r w:rsidR="009676BD">
        <w:instrText>ADDIN CSL_CITATION { "citationItems" : [ { "id" : "ITEM-1", "itemData" : { "author" : [ { "dropping-particle" : "", "family" : "World Health Organisation", "given" : "", "non-dropping-particle" : "", "parse-names" : false, "suffix" : "" } ], "id" : "ITEM-1", "issued" : { "date-parts" : [ [ "2008" ] ] }, "title" : "Unsafe abortion: Global and regional estimates of the incidence of unsafe abortion and associated mortality in 2008", "type" : "report" }, "uris" : [ "http://www.mendeley.com/documents/?uuid=e5bcb620-25f6-4bde-b20a-74a8e405432f" ] } ], "mendeley" : { "formattedCitation" : "&lt;sup&gt;21&lt;/sup&gt;", "plainTextFormattedCitation" : "21", "previouslyFormattedCitation" : "&lt;sup&gt;21&lt;/sup&gt;" }, "properties" : { "noteIndex" : 0 }, "schema" : "https://github.com/citation-style-language/schema/raw/master/csl-citation.json" }</w:instrText>
      </w:r>
      <w:r w:rsidR="00373FF7">
        <w:fldChar w:fldCharType="separate"/>
      </w:r>
      <w:r w:rsidR="0044458F" w:rsidRPr="0044458F">
        <w:rPr>
          <w:noProof/>
          <w:vertAlign w:val="superscript"/>
        </w:rPr>
        <w:t>21</w:t>
      </w:r>
      <w:r w:rsidR="00373FF7">
        <w:fldChar w:fldCharType="end"/>
      </w:r>
      <w:r w:rsidR="00FF311F">
        <w:t>.</w:t>
      </w:r>
    </w:p>
    <w:p w:rsidR="00FF311F" w:rsidRDefault="00FF311F" w:rsidP="007312F7">
      <w:pPr>
        <w:jc w:val="both"/>
      </w:pPr>
      <w:bookmarkStart w:id="78" w:name="_TOC82054"/>
      <w:bookmarkEnd w:id="78"/>
    </w:p>
    <w:p w:rsidR="00FF311F" w:rsidRDefault="00FF311F" w:rsidP="007312F7">
      <w:pPr>
        <w:pStyle w:val="Heading2"/>
        <w:jc w:val="both"/>
      </w:pPr>
      <w:bookmarkStart w:id="79" w:name="_Toc411525491"/>
      <w:r>
        <w:t xml:space="preserve">Prevention and Treatment of Postpartum </w:t>
      </w:r>
      <w:r w:rsidR="00A67EBA">
        <w:t>H</w:t>
      </w:r>
      <w:r>
        <w:t>aemorrhage</w:t>
      </w:r>
      <w:bookmarkEnd w:id="79"/>
    </w:p>
    <w:p w:rsidR="00FF311F" w:rsidRDefault="00A471DC" w:rsidP="007312F7">
      <w:pPr>
        <w:jc w:val="both"/>
      </w:pPr>
      <w:r>
        <w:t xml:space="preserve">Postpartum haemorrhage </w:t>
      </w:r>
      <w:r w:rsidR="005040DF">
        <w:t xml:space="preserve">contributes more than 25% of all maternal deaths. There are several reasons for postpartum haemorrhage including uterine atony, retained products of conception and cervical, uterine and perineal tears. </w:t>
      </w:r>
      <w:r w:rsidR="005F70D8">
        <w:t>Uterine atony accounts for 75 – 80% of all postpartum haemorrhage cases.</w:t>
      </w:r>
      <w:r w:rsidR="00747A9C">
        <w:t xml:space="preserve"> </w:t>
      </w:r>
      <w:r w:rsidR="007A5327">
        <w:t xml:space="preserve">Skilled healthworkers are ideally suited for the treatment of postpartum haemorrhage, thus </w:t>
      </w:r>
      <w:r w:rsidR="00747A9C">
        <w:t xml:space="preserve">a suitable intervention is </w:t>
      </w:r>
      <w:r w:rsidR="007A5327">
        <w:t xml:space="preserve">expanding the number of midwives, medical doctors and clinical officers with the skills to treat the underlying causes of the haemorrhage. </w:t>
      </w:r>
      <w:r w:rsidR="009461B2">
        <w:t xml:space="preserve">The use of misoprostol to prevent and treat </w:t>
      </w:r>
      <w:r w:rsidR="00E30E9D">
        <w:t>postpartum</w:t>
      </w:r>
      <w:r w:rsidR="009461B2">
        <w:t xml:space="preserve"> haemorrhage, where other uterotonics are unavailable, is very effective. </w:t>
      </w:r>
      <w:r w:rsidR="007A5327">
        <w:t>Misoprostol is a stable compound, does not need refrigeration, and is easily</w:t>
      </w:r>
      <w:r w:rsidR="00FC3786">
        <w:t xml:space="preserve"> </w:t>
      </w:r>
      <w:r w:rsidR="007A5327">
        <w:t>distributed through the community</w:t>
      </w:r>
      <w:r w:rsidR="00111F18">
        <w:t>.</w:t>
      </w:r>
      <w:r w:rsidR="00747A9C">
        <w:t xml:space="preserve"> </w:t>
      </w:r>
      <w:r w:rsidR="00525D11">
        <w:t>Misoprostol</w:t>
      </w:r>
      <w:r w:rsidR="009461B2">
        <w:t xml:space="preserve"> has been shown to reduce acute postpartum haemorrhage and reduce catastrophic blood loss of more than 1000ml </w:t>
      </w:r>
      <w:r w:rsidR="00373FF7">
        <w:fldChar w:fldCharType="begin" w:fldLock="1"/>
      </w:r>
      <w:r w:rsidR="009676BD">
        <w:instrText>ADDIN CSL_CITATION { "citationItems" : [ { "id" : "ITEM-1", "itemData" : { "abstract" : "Lars H\u2298j, staff specialist (lars.hoj{at}dadlnet.dk)1, Placido Cardoso, researcher2, Birgitte Bruun Nielsen, staff specialist1, Lone Hvidman, consultant obstetrician1, Jens Nielsen, statistician3, Peter Aaby, professor31 Department of Obstetrics and Gynaecology, Aarhus University Hospital, 8200 Aarhus N, Denmark2 Projecto de Sa\u00fade de Bandim, Apartado 861, Bissau, Guinea-Bissau3 Bandim Health Project, Danish Epidemiology Science Centre, Statens Serum Institut, 2300 Copenhagen S, DenmarkCorrespondence to: L H\u2298jAccepted 30 August 2005\nAbstract\nObjective To evaluate whether routine administration of sublingual misoprostol 600 \u03bcg after delivery reduces postpartum haemorrhage.\nDesign Randomised double blind placebo controlled trial.\nSetting Primary health centre in Bissau, Guinea-Bissau, West Africa.\nParticipants 661 women undergoing vaginal delivery.\nIntervention Misoprostol 600 \u03bcg or placebo administered sublingually immediately after delivery.\nMain outcome measures Postpartum haemorrhage, defined as a loss of \u2265 500 ml and decrease in haemoglobin concentration after delivery.\nResults The incidence of postpartum haemorrhage was not significantly different between the two groups, the relative risk being 0.89 (95% confidence interval 0.76 to 1.04) in the misoprostol group compared with the placebo group. Mean blood loss was 10.5% (\u22120.5% to 20.4%) lower in the misoprostol group than in the control group. Severe postpartum haemorrhage of \u2265 1000 ml or \u22651500 ml occurred in 17% (56) and 8% (25) in the placebo group and 11% (37) and 2% (7) in the misoprostol group. Significantly fewer women in the misoprostol group experienced a loss of \u22651000 ml (0.66, 0.45 to 0.98) or \u2265 1500 ml (0.28, 0.12 to 0.64). The decrease in haemoglobin concentration tended to be less in the misoprostol group, the mean difference between the two groups being 0.16 mmol/l (\u22120.01 mmol/l to 0.32 mmol/l).\nConclusion Sublingual misoprostol reduces the frequency of severe postpartum haemorrhage.\nFootnotes\n\nContributors LH was the principal investigator, contributed to the study design, wrote the draft manuscript, and is guarantor. BBN, LH, and PA contributed to the study design and were involved in the data interpretation and writing of the manuscript. PC supervised the execution of the study, did the data entry, and contributed to the write up. Rosa Amelia Caceres Perez taught the midwives, who were Angelina da Silva, Ermelinda Tchuda, Suzana Rodrigues, and Felismina Ant\u00f3nio Gomes. JN conducted the\u2026", "author" : [ { "dropping-particle" : "", "family" : "H\u2298j", "given" : "Lars", "non-dropping-particle" : "", "parse-names" : false, "suffix" : "" }, { "dropping-particle" : "", "family" : "Cardoso", "given" : "Placido", "non-dropping-particle" : "", "parse-names" : false, "suffix" : "" }, { "dropping-particle" : "", "family" : "Nielsen", "given" : "Birgitte Bruun", "non-dropping-particle" : "", "parse-names" : false, "suffix" : "" }, { "dropping-particle" : "", "family" : "Hvidman", "given" : "Lone", "non-dropping-particle" : "", "parse-names" : false, "suffix" : "" }, { "dropping-particle" : "", "family" : "Nielsen", "given" : "Jens", "non-dropping-particle" : "", "parse-names" : false, "suffix" : "" }, { "dropping-particle" : "", "family" : "Aaby", "given" : "Peter", "non-dropping-particle" : "", "parse-names" : false, "suffix" : "" } ], "container-title" : "BMJ", "id" : "ITEM-1", "issue" : "7519", "issued" : { "date-parts" : [ [ "2005", "9", "29" ] ] }, "page" : "723", "title" : "Effect of sublingual misoprostol on severe postpartum haemorrhage in a primary health centre in Guinea-Bissau: randomised double blind clinical trial", "type" : "article-journal", "volume" : "331" }, "uris" : [ "http://www.mendeley.com/documents/?uuid=b5b87952-be5f-4c5d-9395-faa5a32567c9" ] }, { "id" : "ITEM-2", "itemData" : { "DOI" : "10.1016/S0140-6736(06)69522-6", "abstract" : "BackgroundPostpartum haemorrhage is a major cause of maternal mortality in the developing world. Although effective methods for prevention and treatment of such haemorrhage exist?such as the uterotonic drug oxytocin?most are not feasible in resource-poor settings where many births occur at home. We aimed to investigate whether oral misoprostol, a potential alternative to oxytocin, could prevent postpartum haemorrhage in a community home-birth setting.", "author" : [ { "dropping-particle" : "", "family" : "Derman", "given" : "Richard J", "non-dropping-particle" : "", "parse-names" : false, "suffix" : "" }, { "dropping-particle" : "", "family" : "Kodkany", "given" : "Bhalchandra S", "non-dropping-particle" : "", "parse-names" : false, "suffix" : "" }, { "dropping-particle" : "", "family" : "Goudar", "given" : "Shivaprasad S", "non-dropping-particle" : "", "parse-names" : false, "suffix" : "" }, { "dropping-particle" : "", "family" : "Geller", "given" : "Stacie E", "non-dropping-particle" : "", "parse-names" : false, "suffix" : "" }, { "dropping-particle" : "", "family" : "Naik", "given" : "Vijaya A", "non-dropping-particle" : "", "parse-names" : false, "suffix" : "" }, { "dropping-particle" : "", "family" : "Bellad", "given" : "M B", "non-dropping-particle" : "", "parse-names" : false, "suffix" : "" }, { "dropping-particle" : "", "family" : "Patted", "given" : "Shobhana S", "non-dropping-particle" : "", "parse-names" : false, "suffix" : "" }, { "dropping-particle" : "", "family" : "Patel", "given" : "Ashlesha", "non-dropping-particle" : "", "parse-names" : false, "suffix" : "" }, { "dropping-particle" : "", "family" : "Edlavitch", "given" : "Stanley A", "non-dropping-particle" : "", "parse-names" : false, "suffix" : "" }, { "dropping-particle" : "", "family" : "Hartwell", "given" : "Tyler", "non-dropping-particle" : "", "parse-names" : false, "suffix" : "" }, { "dropping-particle" : "", "family" : "Chakraborty", "given" : "Hrishikesh", "non-dropping-particle" : "", "parse-names" : false, "suffix" : "" }, { "dropping-particle" : "", "family" : "Moss", "given" : "Nancy", "non-dropping-particle" : "", "parse-names" : false, "suffix" : "" } ], "container-title" : "The Lancet", "id" : "ITEM-2", "issue" : "9543", "issued" : { "date-parts" : [ [ "2006", "1", "3" ] ] }, "note" : "doi: 10.1016/S0140-6736(06)69522-6", "page" : "1248-1253", "publisher" : "Elsevier", "title" : "Oral misoprostol in preventing postpartum haemorrhage in resource-poor communities: a randomised controlled trial", "type" : "article-journal", "volume" : "368" }, "uris" : [ "http://www.mendeley.com/documents/?uuid=6043b7ba-72d1-420b-abaa-fc74c66b43e2" ] } ], "mendeley" : { "formattedCitation" : "&lt;sup&gt;24,25&lt;/sup&gt;", "plainTextFormattedCitation" : "24,25", "previouslyFormattedCitation" : "&lt;sup&gt;24,25&lt;/sup&gt;" }, "properties" : { "noteIndex" : 0 }, "schema" : "https://github.com/citation-style-language/schema/raw/master/csl-citation.json" }</w:instrText>
      </w:r>
      <w:r w:rsidR="00373FF7">
        <w:fldChar w:fldCharType="separate"/>
      </w:r>
      <w:r w:rsidR="0044458F" w:rsidRPr="0044458F">
        <w:rPr>
          <w:noProof/>
          <w:vertAlign w:val="superscript"/>
        </w:rPr>
        <w:t>24,25</w:t>
      </w:r>
      <w:r w:rsidR="00373FF7">
        <w:fldChar w:fldCharType="end"/>
      </w:r>
      <w:r w:rsidR="00FF1D7B">
        <w:t>.</w:t>
      </w:r>
    </w:p>
    <w:p w:rsidR="00FF1D7B" w:rsidRDefault="00FF1D7B" w:rsidP="007312F7">
      <w:pPr>
        <w:jc w:val="both"/>
      </w:pPr>
    </w:p>
    <w:p w:rsidR="00FF1D7B" w:rsidRPr="00A471DC" w:rsidRDefault="00FF1D7B" w:rsidP="007312F7">
      <w:pPr>
        <w:jc w:val="both"/>
      </w:pPr>
      <w:r>
        <w:t xml:space="preserve">The cost of a tablet (200 micrograms) of misoprostol averages about US$ 0.22 per tablet, thus a prevention course (600 micrograms) costs about </w:t>
      </w:r>
      <w:r w:rsidR="006E1B49">
        <w:t xml:space="preserve">US$ 0.66. </w:t>
      </w:r>
      <w:r w:rsidR="007A5327">
        <w:t>There is currently scant data to ascertain the total costs of widescale programme implementation including monitoring of side effects and linking up with secondary care.</w:t>
      </w:r>
    </w:p>
    <w:p w:rsidR="00FF1D7B" w:rsidRDefault="00FF1D7B" w:rsidP="007312F7">
      <w:pPr>
        <w:pStyle w:val="Heading2"/>
        <w:jc w:val="both"/>
      </w:pPr>
      <w:bookmarkStart w:id="80" w:name="_TOC83358"/>
      <w:bookmarkStart w:id="81" w:name="_Toc411525492"/>
      <w:bookmarkEnd w:id="80"/>
      <w:r>
        <w:t>Intrapartum</w:t>
      </w:r>
      <w:r w:rsidR="00747A9C">
        <w:t xml:space="preserve"> </w:t>
      </w:r>
      <w:r w:rsidR="00A67EBA">
        <w:t>I</w:t>
      </w:r>
      <w:r>
        <w:t xml:space="preserve">nterventions: </w:t>
      </w:r>
      <w:r w:rsidR="00A67EBA">
        <w:t>O</w:t>
      </w:r>
      <w:r>
        <w:t xml:space="preserve">bstetric </w:t>
      </w:r>
      <w:r w:rsidR="00A67EBA">
        <w:t>C</w:t>
      </w:r>
      <w:r>
        <w:t>are</w:t>
      </w:r>
      <w:bookmarkEnd w:id="81"/>
    </w:p>
    <w:p w:rsidR="00FF1D7B" w:rsidRDefault="007A5327" w:rsidP="007312F7">
      <w:pPr>
        <w:jc w:val="both"/>
      </w:pPr>
      <w:r>
        <w:t>The range of low cost and high impact interventions classified here as intrapartum interventions: obstetric care are:</w:t>
      </w:r>
    </w:p>
    <w:p w:rsidR="00462E56" w:rsidRDefault="00462E56" w:rsidP="007312F7">
      <w:pPr>
        <w:pStyle w:val="ListParagraph"/>
        <w:numPr>
          <w:ilvl w:val="0"/>
          <w:numId w:val="4"/>
        </w:numPr>
        <w:jc w:val="both"/>
      </w:pPr>
      <w:r w:rsidRPr="00201C1A">
        <w:rPr>
          <w:i/>
        </w:rPr>
        <w:t>Use of a partograph to monitor progress of labour</w:t>
      </w:r>
      <w:r>
        <w:t xml:space="preserve">: Very low cost and effective method to help decide on various interventions. Require diligent monitoring and skilled health workers to carry out interventions including augmentation of labour, instrumental delivery or </w:t>
      </w:r>
      <w:r w:rsidR="00E30E9D">
        <w:t>Caesarean</w:t>
      </w:r>
      <w:r>
        <w:t xml:space="preserve"> section.</w:t>
      </w:r>
    </w:p>
    <w:p w:rsidR="00462E56" w:rsidRDefault="00462E56" w:rsidP="007312F7">
      <w:pPr>
        <w:pStyle w:val="ListParagraph"/>
        <w:numPr>
          <w:ilvl w:val="0"/>
          <w:numId w:val="4"/>
        </w:numPr>
        <w:jc w:val="both"/>
      </w:pPr>
      <w:r w:rsidRPr="00201C1A">
        <w:rPr>
          <w:i/>
        </w:rPr>
        <w:t>Use of Magnesium sulphate/ nifedipine</w:t>
      </w:r>
      <w:r w:rsidR="003442AC" w:rsidRPr="00201C1A">
        <w:rPr>
          <w:i/>
        </w:rPr>
        <w:t xml:space="preserve"> to treat pre</w:t>
      </w:r>
      <w:r w:rsidR="00947FAC">
        <w:rPr>
          <w:i/>
        </w:rPr>
        <w:t>-</w:t>
      </w:r>
      <w:r w:rsidR="003442AC" w:rsidRPr="00201C1A">
        <w:rPr>
          <w:i/>
        </w:rPr>
        <w:t>ecla</w:t>
      </w:r>
      <w:r w:rsidR="00947FAC">
        <w:rPr>
          <w:i/>
        </w:rPr>
        <w:t>m</w:t>
      </w:r>
      <w:r w:rsidR="003442AC" w:rsidRPr="00201C1A">
        <w:rPr>
          <w:i/>
        </w:rPr>
        <w:t>psia/ eclampsia</w:t>
      </w:r>
      <w:r w:rsidR="003442AC">
        <w:t>: Pregnancy related hypertensive disorders cause about 10% of maternal deaths. The use of magnesium sulphate or nifidepine is highly effective, but requires skilled health workers to administer the drugs.</w:t>
      </w:r>
    </w:p>
    <w:p w:rsidR="003442AC" w:rsidRDefault="003442AC" w:rsidP="007312F7">
      <w:pPr>
        <w:pStyle w:val="ListParagraph"/>
        <w:numPr>
          <w:ilvl w:val="0"/>
          <w:numId w:val="4"/>
        </w:numPr>
        <w:jc w:val="both"/>
      </w:pPr>
      <w:r w:rsidRPr="00201C1A">
        <w:rPr>
          <w:i/>
        </w:rPr>
        <w:lastRenderedPageBreak/>
        <w:t>Antibiotics for treatment of puerperal sepsis</w:t>
      </w:r>
      <w:r w:rsidRPr="003442AC">
        <w:t>:</w:t>
      </w:r>
      <w:r>
        <w:t xml:space="preserve"> Infections account for 10% of all maternal deaths. Active monitoring and early treatment of infections is very effective. This intervention requires skilled health workers.</w:t>
      </w:r>
    </w:p>
    <w:p w:rsidR="003442AC" w:rsidRDefault="007A5327" w:rsidP="007312F7">
      <w:pPr>
        <w:pStyle w:val="ListParagraph"/>
        <w:numPr>
          <w:ilvl w:val="0"/>
          <w:numId w:val="4"/>
        </w:numPr>
        <w:jc w:val="both"/>
      </w:pPr>
      <w:r w:rsidRPr="00201C1A">
        <w:rPr>
          <w:i/>
        </w:rPr>
        <w:t xml:space="preserve">Availability of blood transfusion: </w:t>
      </w:r>
      <w:r>
        <w:t xml:space="preserve">Severe blood loss from acute postpartum haemorrhage often necessitates the use of blood products. </w:t>
      </w:r>
      <w:r w:rsidR="00411827">
        <w:t>While blood transfusion is not a low cost intervention, it has very high impact in reducing maternal deaths.</w:t>
      </w:r>
    </w:p>
    <w:p w:rsidR="00411827" w:rsidRDefault="00411827" w:rsidP="007312F7">
      <w:pPr>
        <w:jc w:val="both"/>
      </w:pPr>
    </w:p>
    <w:p w:rsidR="00411827" w:rsidRDefault="00411827" w:rsidP="007312F7">
      <w:pPr>
        <w:jc w:val="both"/>
      </w:pPr>
      <w:r>
        <w:t xml:space="preserve">It is difficult to estimate the costs of such interventions. The cost is also variable depending on how sufficiently strong the health services are. An estimation of expanded costs to allow these services to reach 90% coverage in Africa would be about US$ </w:t>
      </w:r>
      <w:r w:rsidRPr="00411827">
        <w:t>0.21–0.42</w:t>
      </w:r>
      <w:r>
        <w:t xml:space="preserve"> billion per year; and this would avert about </w:t>
      </w:r>
      <w:r w:rsidRPr="00411827">
        <w:t>8–20</w:t>
      </w:r>
      <w:r>
        <w:t xml:space="preserve">% </w:t>
      </w:r>
      <w:r w:rsidR="005758D0">
        <w:t>of maternal deaths.</w:t>
      </w:r>
    </w:p>
    <w:p w:rsidR="005758D0" w:rsidRDefault="005758D0" w:rsidP="007312F7">
      <w:pPr>
        <w:pStyle w:val="Heading2"/>
        <w:jc w:val="both"/>
      </w:pPr>
      <w:bookmarkStart w:id="82" w:name="_TOC84881"/>
      <w:bookmarkStart w:id="83" w:name="_Toc411525493"/>
      <w:bookmarkEnd w:id="82"/>
      <w:r>
        <w:t>Intrapartum</w:t>
      </w:r>
      <w:r w:rsidR="00747A9C">
        <w:t xml:space="preserve"> </w:t>
      </w:r>
      <w:r w:rsidR="00A67EBA">
        <w:t>I</w:t>
      </w:r>
      <w:r>
        <w:t xml:space="preserve">nterventions: </w:t>
      </w:r>
      <w:r w:rsidR="00A67EBA">
        <w:t>N</w:t>
      </w:r>
      <w:r>
        <w:t xml:space="preserve">eonatal </w:t>
      </w:r>
      <w:r w:rsidR="00A67EBA">
        <w:t>C</w:t>
      </w:r>
      <w:r>
        <w:t>are</w:t>
      </w:r>
      <w:bookmarkEnd w:id="83"/>
    </w:p>
    <w:p w:rsidR="005758D0" w:rsidRDefault="007A5327" w:rsidP="007312F7">
      <w:pPr>
        <w:jc w:val="both"/>
      </w:pPr>
      <w:r>
        <w:t>The range of neonatal interventions that classified here include:</w:t>
      </w:r>
    </w:p>
    <w:p w:rsidR="005758D0" w:rsidRDefault="00804585" w:rsidP="007312F7">
      <w:pPr>
        <w:pStyle w:val="ListParagraph"/>
        <w:numPr>
          <w:ilvl w:val="0"/>
          <w:numId w:val="4"/>
        </w:numPr>
        <w:jc w:val="both"/>
      </w:pPr>
      <w:r w:rsidRPr="00201C1A">
        <w:rPr>
          <w:i/>
        </w:rPr>
        <w:t>Corticosteroids for preterm labour</w:t>
      </w:r>
      <w:r>
        <w:t xml:space="preserve">: Very cost effective </w:t>
      </w:r>
      <w:r w:rsidR="00E30E9D">
        <w:t>intervention that helps</w:t>
      </w:r>
      <w:r w:rsidR="00747A9C">
        <w:t xml:space="preserve"> </w:t>
      </w:r>
      <w:r>
        <w:t xml:space="preserve">mature the lungs of </w:t>
      </w:r>
      <w:r w:rsidR="00396299">
        <w:t>pre-term</w:t>
      </w:r>
      <w:r>
        <w:t xml:space="preserve"> babies, improving their rate of survival.</w:t>
      </w:r>
    </w:p>
    <w:p w:rsidR="00804585" w:rsidRDefault="00804585" w:rsidP="007312F7">
      <w:pPr>
        <w:pStyle w:val="ListParagraph"/>
        <w:numPr>
          <w:ilvl w:val="0"/>
          <w:numId w:val="4"/>
        </w:numPr>
        <w:jc w:val="both"/>
      </w:pPr>
      <w:r w:rsidRPr="00201C1A">
        <w:rPr>
          <w:i/>
        </w:rPr>
        <w:t>Kangaroo care</w:t>
      </w:r>
      <w:r w:rsidRPr="00804585">
        <w:t>:</w:t>
      </w:r>
      <w:r>
        <w:t xml:space="preserve"> Skin to skin placement of newly born with mother, providing constant body temperature warmth for the newly born. </w:t>
      </w:r>
      <w:r w:rsidR="007A5327">
        <w:t>This intervention is very effective for low birth weight babies. Vastly improved neonatal survival outcomes are possible.</w:t>
      </w:r>
    </w:p>
    <w:p w:rsidR="00804585" w:rsidRDefault="005A1892" w:rsidP="007312F7">
      <w:pPr>
        <w:pStyle w:val="ListParagraph"/>
        <w:numPr>
          <w:ilvl w:val="0"/>
          <w:numId w:val="4"/>
        </w:numPr>
        <w:jc w:val="both"/>
      </w:pPr>
      <w:r w:rsidRPr="00201C1A">
        <w:rPr>
          <w:i/>
        </w:rPr>
        <w:t xml:space="preserve">Neonatal resuscitation: </w:t>
      </w:r>
      <w:r>
        <w:t>To prevent early neonatal deaths from birth asphyxia, neonates should be have clear airways and ventilated with an ambubag if they fail to breathe spontaneously. This intervention requires skilled health workers or training of support staff to be able to perform ventilation of neonates.</w:t>
      </w:r>
    </w:p>
    <w:p w:rsidR="005A1892" w:rsidRDefault="005A1892" w:rsidP="007312F7">
      <w:pPr>
        <w:pStyle w:val="ListParagraph"/>
        <w:numPr>
          <w:ilvl w:val="0"/>
          <w:numId w:val="4"/>
        </w:numPr>
        <w:jc w:val="both"/>
      </w:pPr>
      <w:r w:rsidRPr="00201C1A">
        <w:rPr>
          <w:i/>
        </w:rPr>
        <w:t>Antibiotics for neonatal sepsis:</w:t>
      </w:r>
      <w:r>
        <w:t xml:space="preserve"> Early detection and treatment of sepsis would greatly reduce the neonatal mortality rates. This intervention requires skilled health workers.</w:t>
      </w:r>
    </w:p>
    <w:p w:rsidR="005A1892" w:rsidRPr="005758D0" w:rsidRDefault="005A1892" w:rsidP="007312F7">
      <w:pPr>
        <w:jc w:val="both"/>
      </w:pPr>
    </w:p>
    <w:p w:rsidR="00462E56" w:rsidRDefault="005A1892" w:rsidP="007312F7">
      <w:pPr>
        <w:jc w:val="both"/>
      </w:pPr>
      <w:r>
        <w:t xml:space="preserve">An estimation of expanded costs to allow these services to reach 90% coverage in Africa would be about </w:t>
      </w:r>
      <w:r w:rsidR="00D47F9C">
        <w:t xml:space="preserve">US$ </w:t>
      </w:r>
      <w:r w:rsidR="00D47F9C" w:rsidRPr="00D47F9C">
        <w:t>0.14–0.28</w:t>
      </w:r>
      <w:r w:rsidR="00D47F9C">
        <w:t xml:space="preserve"> billion, averting </w:t>
      </w:r>
      <w:r w:rsidR="00D47F9C" w:rsidRPr="00D47F9C">
        <w:t>12–18</w:t>
      </w:r>
      <w:r w:rsidR="00D47F9C">
        <w:t>% of deaths.</w:t>
      </w:r>
    </w:p>
    <w:p w:rsidR="00B2636F" w:rsidRDefault="00B2636F" w:rsidP="007312F7">
      <w:pPr>
        <w:pStyle w:val="Heading2"/>
        <w:jc w:val="both"/>
      </w:pPr>
      <w:bookmarkStart w:id="84" w:name="_TOC86180"/>
      <w:bookmarkStart w:id="85" w:name="_Toc411525494"/>
      <w:bookmarkEnd w:id="84"/>
      <w:r>
        <w:t xml:space="preserve">Postpartum </w:t>
      </w:r>
      <w:r w:rsidR="00A67EBA">
        <w:t>M</w:t>
      </w:r>
      <w:r>
        <w:t xml:space="preserve">aternal and </w:t>
      </w:r>
      <w:r w:rsidR="00A67EBA">
        <w:t>N</w:t>
      </w:r>
      <w:r>
        <w:t xml:space="preserve">eonatal </w:t>
      </w:r>
      <w:r w:rsidR="00A67EBA">
        <w:t>I</w:t>
      </w:r>
      <w:r>
        <w:t>nterventions</w:t>
      </w:r>
      <w:bookmarkEnd w:id="85"/>
    </w:p>
    <w:p w:rsidR="00B2636F" w:rsidRDefault="00B2636F" w:rsidP="007312F7">
      <w:pPr>
        <w:jc w:val="both"/>
      </w:pPr>
      <w:r>
        <w:t>These include:</w:t>
      </w:r>
    </w:p>
    <w:p w:rsidR="00B2636F" w:rsidRDefault="007A5327" w:rsidP="007312F7">
      <w:pPr>
        <w:pStyle w:val="ListParagraph"/>
        <w:numPr>
          <w:ilvl w:val="0"/>
          <w:numId w:val="4"/>
        </w:numPr>
        <w:jc w:val="both"/>
      </w:pPr>
      <w:r w:rsidRPr="00201C1A">
        <w:rPr>
          <w:i/>
        </w:rPr>
        <w:t>Community based pneumonia case management</w:t>
      </w:r>
      <w:r>
        <w:t>: Early empirical treatment of pneumonia in babies is shown to improve child survival. This intervention can be implemented by well trained community health workers.</w:t>
      </w:r>
    </w:p>
    <w:p w:rsidR="00B2636F" w:rsidRPr="00B2636F" w:rsidRDefault="00B2636F" w:rsidP="007312F7">
      <w:pPr>
        <w:pStyle w:val="ListParagraph"/>
        <w:numPr>
          <w:ilvl w:val="0"/>
          <w:numId w:val="4"/>
        </w:numPr>
        <w:jc w:val="both"/>
      </w:pPr>
      <w:r w:rsidRPr="00201C1A">
        <w:rPr>
          <w:i/>
        </w:rPr>
        <w:t>Community mobilisation and awareness</w:t>
      </w:r>
      <w:r>
        <w:t xml:space="preserve">: Greater use of community interventions can lead to better </w:t>
      </w:r>
      <w:r w:rsidR="000679E3">
        <w:t>outcomes</w:t>
      </w:r>
      <w:r>
        <w:t>. The community can assist in monitoring of women, promotion of safe practices of delivery, promotion of family planning and support to low birth weight babies.</w:t>
      </w:r>
    </w:p>
    <w:p w:rsidR="004A68D9" w:rsidRDefault="004A68D9" w:rsidP="007312F7">
      <w:pPr>
        <w:jc w:val="both"/>
      </w:pPr>
    </w:p>
    <w:p w:rsidR="00F74DB2" w:rsidRDefault="0023728C" w:rsidP="007312F7">
      <w:pPr>
        <w:jc w:val="both"/>
      </w:pPr>
      <w:r>
        <w:t>It is difficult to ascertain costs related to these interventions.</w:t>
      </w:r>
    </w:p>
    <w:p w:rsidR="0023728C" w:rsidRDefault="0023728C" w:rsidP="007312F7">
      <w:pPr>
        <w:pStyle w:val="Heading2"/>
        <w:jc w:val="both"/>
      </w:pPr>
      <w:bookmarkStart w:id="86" w:name="_TOC86783"/>
      <w:bookmarkStart w:id="87" w:name="_Toc411525495"/>
      <w:bookmarkEnd w:id="86"/>
      <w:r>
        <w:t xml:space="preserve">Maternal </w:t>
      </w:r>
      <w:r w:rsidR="00A67EBA">
        <w:t>D</w:t>
      </w:r>
      <w:r>
        <w:t xml:space="preserve">eath </w:t>
      </w:r>
      <w:r w:rsidR="00A67EBA">
        <w:t>S</w:t>
      </w:r>
      <w:r>
        <w:t>urveillance</w:t>
      </w:r>
      <w:r w:rsidR="00747A9C">
        <w:t xml:space="preserve"> </w:t>
      </w:r>
      <w:r w:rsidR="00CC71FF">
        <w:t>and Response</w:t>
      </w:r>
      <w:bookmarkEnd w:id="87"/>
    </w:p>
    <w:p w:rsidR="00AE5A09" w:rsidRDefault="0023728C" w:rsidP="007312F7">
      <w:pPr>
        <w:jc w:val="both"/>
      </w:pPr>
      <w:r>
        <w:t xml:space="preserve">There is sparse data surrounding maternal deaths in Africa. Most of the data is derived from extrapolations from demographic surveys, thus there is a wide range of inaccuracy in the estimates. </w:t>
      </w:r>
    </w:p>
    <w:p w:rsidR="00AE5A09" w:rsidRDefault="00AE5A09" w:rsidP="007312F7">
      <w:pPr>
        <w:jc w:val="both"/>
      </w:pPr>
    </w:p>
    <w:p w:rsidR="00AE5A09" w:rsidRPr="00AE5A09" w:rsidRDefault="00AE5A09" w:rsidP="007312F7">
      <w:pPr>
        <w:jc w:val="both"/>
      </w:pPr>
      <w:r>
        <w:lastRenderedPageBreak/>
        <w:t>Most African countries rely</w:t>
      </w:r>
      <w:r w:rsidRPr="00AE5A09">
        <w:t xml:space="preserve"> on a paper based health information systems (HIS)</w:t>
      </w:r>
    </w:p>
    <w:p w:rsidR="00AE5A09" w:rsidRDefault="00AE5A09" w:rsidP="007312F7">
      <w:pPr>
        <w:jc w:val="both"/>
      </w:pPr>
      <w:r w:rsidRPr="00AE5A09">
        <w:t>which only generate crude numbers of maternal deaths, but lack detail on causes of death or</w:t>
      </w:r>
      <w:r>
        <w:t xml:space="preserve"> </w:t>
      </w:r>
      <w:r w:rsidRPr="00AE5A09">
        <w:t>avoidable factors, and only for deaths occurring in public facilities</w:t>
      </w:r>
      <w:r>
        <w:fldChar w:fldCharType="begin" w:fldLock="1"/>
      </w:r>
      <w:r w:rsidR="009676BD">
        <w:instrText>ADDIN CSL_CITATION { "citationItems" : [ { "id" : "ITEM-1", "itemData" : { "author" : [ { "dropping-particle" : "", "family" : "African Union Commission", "given" : "", "non-dropping-particle" : "", "parse-names" : false, "suffix" : "" } ], "id" : "ITEM-1", "issue" : "August", "issued" : { "date-parts" : [ [ "2013" ] ] }, "title" : "Assessment of Maternal Death Audit Systems in Africa Level of Implementation &amp; Gaps in", "type" : "report" }, "uris" : [ "http://www.mendeley.com/documents/?uuid=6f8a7556-fed8-4096-b3fb-8bd3768c365c" ] } ], "mendeley" : { "formattedCitation" : "&lt;sup&gt;26&lt;/sup&gt;", "plainTextFormattedCitation" : "26", "previouslyFormattedCitation" : "&lt;sup&gt;26&lt;/sup&gt;" }, "properties" : { "noteIndex" : 0 }, "schema" : "https://github.com/citation-style-language/schema/raw/master/csl-citation.json" }</w:instrText>
      </w:r>
      <w:r>
        <w:fldChar w:fldCharType="separate"/>
      </w:r>
      <w:r w:rsidR="0044458F" w:rsidRPr="0044458F">
        <w:rPr>
          <w:noProof/>
          <w:vertAlign w:val="superscript"/>
        </w:rPr>
        <w:t>26</w:t>
      </w:r>
      <w:r>
        <w:fldChar w:fldCharType="end"/>
      </w:r>
      <w:r>
        <w:t>. A 2013 report of maternal death audits in Africa, found that w</w:t>
      </w:r>
      <w:r w:rsidRPr="00AE5A09">
        <w:t>hile all countries</w:t>
      </w:r>
      <w:r>
        <w:t xml:space="preserve"> had maternal death audit</w:t>
      </w:r>
      <w:r w:rsidRPr="00AE5A09">
        <w:t xml:space="preserve"> tools, each had their own format and content, with no uniformity across the sites. </w:t>
      </w:r>
      <w:r>
        <w:t>There was no</w:t>
      </w:r>
      <w:r w:rsidRPr="00AE5A09">
        <w:t xml:space="preserve"> community representativ</w:t>
      </w:r>
      <w:r>
        <w:t xml:space="preserve">e in any of the countries and inconsistencies </w:t>
      </w:r>
      <w:r w:rsidRPr="00AE5A09">
        <w:t xml:space="preserve">regarding </w:t>
      </w:r>
      <w:r>
        <w:t xml:space="preserve">maternal audit </w:t>
      </w:r>
      <w:r w:rsidRPr="00AE5A09">
        <w:t xml:space="preserve">meetings. </w:t>
      </w:r>
      <w:r>
        <w:t>Crucially, n</w:t>
      </w:r>
      <w:r w:rsidRPr="00AE5A09">
        <w:t>o</w:t>
      </w:r>
      <w:r>
        <w:t>ne of the c</w:t>
      </w:r>
      <w:r w:rsidRPr="00AE5A09">
        <w:t>ountr</w:t>
      </w:r>
      <w:r>
        <w:t xml:space="preserve">ies </w:t>
      </w:r>
      <w:r w:rsidRPr="00AE5A09">
        <w:t xml:space="preserve">had a monitoring and evaluation (M&amp;E) framework for following up the </w:t>
      </w:r>
      <w:r>
        <w:t xml:space="preserve">maternal death audit </w:t>
      </w:r>
      <w:r w:rsidRPr="00AE5A09">
        <w:t>process</w:t>
      </w:r>
      <w:r>
        <w:fldChar w:fldCharType="begin" w:fldLock="1"/>
      </w:r>
      <w:r w:rsidR="009676BD">
        <w:instrText>ADDIN CSL_CITATION { "citationItems" : [ { "id" : "ITEM-1", "itemData" : { "author" : [ { "dropping-particle" : "", "family" : "African Union Commission", "given" : "", "non-dropping-particle" : "", "parse-names" : false, "suffix" : "" } ], "id" : "ITEM-1", "issue" : "August", "issued" : { "date-parts" : [ [ "2013" ] ] }, "title" : "Assessment of Maternal Death Audit Systems in Africa Level of Implementation &amp; Gaps in", "type" : "report" }, "uris" : [ "http://www.mendeley.com/documents/?uuid=6f8a7556-fed8-4096-b3fb-8bd3768c365c" ] } ], "mendeley" : { "formattedCitation" : "&lt;sup&gt;26&lt;/sup&gt;", "plainTextFormattedCitation" : "26", "previouslyFormattedCitation" : "&lt;sup&gt;26&lt;/sup&gt;" }, "properties" : { "noteIndex" : 0 }, "schema" : "https://github.com/citation-style-language/schema/raw/master/csl-citation.json" }</w:instrText>
      </w:r>
      <w:r>
        <w:fldChar w:fldCharType="separate"/>
      </w:r>
      <w:r w:rsidR="0044458F" w:rsidRPr="0044458F">
        <w:rPr>
          <w:noProof/>
          <w:vertAlign w:val="superscript"/>
        </w:rPr>
        <w:t>26</w:t>
      </w:r>
      <w:r>
        <w:fldChar w:fldCharType="end"/>
      </w:r>
      <w:r w:rsidRPr="00AE5A09">
        <w:t>.</w:t>
      </w:r>
    </w:p>
    <w:p w:rsidR="00AE5A09" w:rsidRDefault="00AE5A09" w:rsidP="007312F7">
      <w:pPr>
        <w:jc w:val="both"/>
      </w:pPr>
    </w:p>
    <w:p w:rsidR="0023728C" w:rsidRDefault="0023728C" w:rsidP="007312F7">
      <w:pPr>
        <w:jc w:val="both"/>
      </w:pPr>
      <w:r>
        <w:t>Ensuring that national and subnational levels have a functioning maternal death audit system that collates information from facility levels would be very useful in elucidating the systematic causes of maternal deaths at local and national levels.</w:t>
      </w:r>
      <w:r w:rsidR="00B56F2B">
        <w:t xml:space="preserve"> Systems should be in place to ensure that maternal and child deaths are notifiable, appropriately recorded and used for the planning of health systems. It would be useful to include legislation that mandates the maternal audit reports are not used for legal processes or proceedings, so that the information is freely collected and utilised by the health system. </w:t>
      </w:r>
      <w:r w:rsidR="00AE3F69">
        <w:t>Methods should be incorporated to ensure</w:t>
      </w:r>
      <w:r w:rsidR="00B56F2B">
        <w:t xml:space="preserve"> that the audit reports ar</w:t>
      </w:r>
      <w:r w:rsidR="00AE3F69">
        <w:t xml:space="preserve">e anonymised as much as possible. </w:t>
      </w:r>
      <w:r>
        <w:t>The information would be extremely useful in planning responsive health systems that are able to further tackle maternal mortality, and develop locally appropriate interventions.</w:t>
      </w:r>
    </w:p>
    <w:p w:rsidR="00741558" w:rsidRDefault="00741558" w:rsidP="007312F7">
      <w:pPr>
        <w:jc w:val="both"/>
      </w:pPr>
    </w:p>
    <w:p w:rsidR="00741558" w:rsidRDefault="00741558" w:rsidP="007312F7">
      <w:pPr>
        <w:pStyle w:val="Heading2"/>
        <w:jc w:val="both"/>
      </w:pPr>
      <w:bookmarkStart w:id="88" w:name="_Toc411525496"/>
      <w:r>
        <w:t>Immunisation</w:t>
      </w:r>
      <w:bookmarkEnd w:id="88"/>
    </w:p>
    <w:p w:rsidR="00741558" w:rsidRDefault="00B61D65" w:rsidP="007312F7">
      <w:pPr>
        <w:jc w:val="both"/>
      </w:pPr>
      <w:r>
        <w:t xml:space="preserve">Vaccines are one of the most effective tools to prevent infectious disease, and can provide lifelong protection against several illnesses. </w:t>
      </w:r>
      <w:r w:rsidRPr="00B61D65">
        <w:t>Vaccination has greatly reduced the</w:t>
      </w:r>
      <w:r>
        <w:t xml:space="preserve"> burden of infectious diseases, only access to clean water, can outperform it in disease reduction</w:t>
      </w:r>
      <w:r w:rsidR="0044458F">
        <w:fldChar w:fldCharType="begin" w:fldLock="1"/>
      </w:r>
      <w:r w:rsidR="009676BD">
        <w:instrText>ADDIN CSL_CITATION { "citationItems" : [ { "id" : "ITEM-1", "itemData" : { "author" : [ { "dropping-particle" : "", "family" : "Plotkin", "given" : "S.L.", "non-dropping-particle" : "", "parse-names" : false, "suffix" : "" }, { "dropping-particle" : "", "family" : "Plotkin", "given" : "S.A.", "non-dropping-particle" : "", "parse-names" : false, "suffix" : "" } ], "container-title" : "Vaccines", "editor" : [ { "dropping-particle" : "", "family" : "Plotkin", "given" : "S.A", "non-dropping-particle" : "", "parse-names" : false, "suffix" : "" }, { "dropping-particle" : "", "family" : "Orenstein", "given" : "W.A.", "non-dropping-particle" : "", "parse-names" : false, "suffix" : "" } ], "id" : "ITEM-1", "issued" : { "date-parts" : [ [ "2004" ] ] }, "page" : "1-15", "title" : "A short history of vaccination", "type" : "chapter" }, "uris" : [ "http://www.mendeley.com/documents/?uuid=7a387f42-29b9-402d-a408-3fceea8cf07d" ] } ], "mendeley" : { "formattedCitation" : "&lt;sup&gt;27&lt;/sup&gt;", "plainTextFormattedCitation" : "27", "previouslyFormattedCitation" : "&lt;sup&gt;27&lt;/sup&gt;" }, "properties" : { "noteIndex" : 0 }, "schema" : "https://github.com/citation-style-language/schema/raw/master/csl-citation.json" }</w:instrText>
      </w:r>
      <w:r w:rsidR="0044458F">
        <w:fldChar w:fldCharType="separate"/>
      </w:r>
      <w:r w:rsidR="0044458F" w:rsidRPr="0044458F">
        <w:rPr>
          <w:noProof/>
          <w:vertAlign w:val="superscript"/>
        </w:rPr>
        <w:t>27</w:t>
      </w:r>
      <w:r w:rsidR="0044458F">
        <w:fldChar w:fldCharType="end"/>
      </w:r>
      <w:r w:rsidR="0044458F">
        <w:t>.</w:t>
      </w:r>
      <w:r>
        <w:t xml:space="preserve"> Immunisation is one of the interventions that has</w:t>
      </w:r>
      <w:r w:rsidR="0044458F">
        <w:t xml:space="preserve"> very high coverage in Africa, can thus be effectively used to reduce mortality resulting from other infectious diseases. Opportunities exist of expanding the repertoire of vaccines to agents that are effective against: </w:t>
      </w:r>
      <w:r w:rsidR="0044458F" w:rsidRPr="007312F7">
        <w:rPr>
          <w:i/>
        </w:rPr>
        <w:t>Haemophillus Influenzae</w:t>
      </w:r>
      <w:r w:rsidR="0044458F">
        <w:t xml:space="preserve"> (a major cause of neonatal pneumonia), </w:t>
      </w:r>
      <w:r w:rsidR="0044458F" w:rsidRPr="007312F7">
        <w:rPr>
          <w:i/>
        </w:rPr>
        <w:t>Streptoccocus pneumoniae</w:t>
      </w:r>
      <w:r w:rsidR="0044458F">
        <w:t xml:space="preserve"> (major cause of community acquired pneumonia), Human Papiloma virus (strongly associated with cervical cancer), Meningitis A (a major cause of meningitis) and Rotavirus (a major cause of childhood diarrhoea)</w:t>
      </w:r>
    </w:p>
    <w:p w:rsidR="0044458F" w:rsidRDefault="0044458F" w:rsidP="007312F7">
      <w:pPr>
        <w:jc w:val="both"/>
      </w:pPr>
    </w:p>
    <w:p w:rsidR="0044458F" w:rsidRDefault="0044458F" w:rsidP="007312F7">
      <w:pPr>
        <w:jc w:val="both"/>
      </w:pPr>
      <w:r>
        <w:t xml:space="preserve">Costs of expanded </w:t>
      </w:r>
      <w:r w:rsidR="009676BD">
        <w:t>programmes of immunisation can range from $5 – 14 per child fully immunised. However, it is estimated that the cost per death averted can range from $205 - $3,540</w:t>
      </w:r>
      <w:r w:rsidR="009676BD">
        <w:fldChar w:fldCharType="begin" w:fldLock="1"/>
      </w:r>
      <w:r w:rsidR="009676BD">
        <w:instrText>ADDIN CSL_CITATION { "citationItems" : [ { "id" : "ITEM-1", "itemData" : { "author" : [ { "dropping-particle" : "", "family" : "Brenzel", "given" : "L", "non-dropping-particle" : "", "parse-names" : false, "suffix" : "" }, { "dropping-particle" : "", "family" : "Wolfson", "given" : "L.J.", "non-dropping-particle" : "", "parse-names" : false, "suffix" : "" }, { "dropping-particle" : "", "family" : "Fox-Rushby", "given" : "J.", "non-dropping-particle" : "", "parse-names" : false, "suffix" : "" }, { "dropping-particle" : "", "family" : "Miller", "given" : "M.", "non-dropping-particle" : "", "parse-names" : false, "suffix" : "" }, { "dropping-particle" : "", "family" : "Halsey", "given" : "N.A.", "non-dropping-particle" : "", "parse-names" : false, "suffix" : "" } ], "container-title" : "Disease Control Priorities in Developing Countries", "editor" : [ { "dropping-particle" : "", "family" : "Measham", "given" : "A.R.", "non-dropping-particle" : "", "parse-names" : false, "suffix" : "" }, { "dropping-particle" : "", "family" : "Alleyne", "given" : "G.", "non-dropping-particle" : "", "parse-names" : false, "suffix" : "" }, { "dropping-particle" : "", "family" : "Claeson", "given" : "M.", "non-dropping-particle" : "", "parse-names" : false, "suffix" : "" }, { "dropping-particle" : "", "family" : "Evans", "given" : "D.B.", "non-dropping-particle" : "", "parse-names" : false, "suffix" : "" } ], "id" : "ITEM-1", "issued" : { "date-parts" : [ [ "2006" ] ] }, "page" : "389-412", "publisher" : "Oxford University Press", "title" : "Vaccine-Preventable Disease", "type" : "chapter" }, "uris" : [ "http://www.mendeley.com/documents/?uuid=7d01c879-341d-4af7-a534-66439d622747" ] } ], "mendeley" : { "formattedCitation" : "&lt;sup&gt;28&lt;/sup&gt;", "plainTextFormattedCitation" : "28" }, "properties" : { "noteIndex" : 0 }, "schema" : "https://github.com/citation-style-language/schema/raw/master/csl-citation.json" }</w:instrText>
      </w:r>
      <w:r w:rsidR="009676BD">
        <w:fldChar w:fldCharType="separate"/>
      </w:r>
      <w:r w:rsidR="009676BD" w:rsidRPr="009676BD">
        <w:rPr>
          <w:noProof/>
          <w:vertAlign w:val="superscript"/>
        </w:rPr>
        <w:t>28</w:t>
      </w:r>
      <w:r w:rsidR="009676BD">
        <w:fldChar w:fldCharType="end"/>
      </w:r>
      <w:r w:rsidR="009676BD">
        <w:t>.</w:t>
      </w:r>
    </w:p>
    <w:p w:rsidR="00741558" w:rsidRDefault="00741558" w:rsidP="007312F7">
      <w:pPr>
        <w:jc w:val="both"/>
      </w:pPr>
    </w:p>
    <w:p w:rsidR="00741558" w:rsidRDefault="00741558" w:rsidP="007312F7">
      <w:pPr>
        <w:pStyle w:val="Heading2"/>
        <w:jc w:val="both"/>
      </w:pPr>
      <w:bookmarkStart w:id="89" w:name="_Toc411525497"/>
      <w:r>
        <w:t>Nutrition</w:t>
      </w:r>
      <w:bookmarkEnd w:id="89"/>
    </w:p>
    <w:p w:rsidR="002300CD" w:rsidRDefault="009676BD" w:rsidP="007312F7">
      <w:pPr>
        <w:jc w:val="both"/>
      </w:pPr>
      <w:r>
        <w:t xml:space="preserve">Nutrition is a critical intervention in improving maternal and child health. Improvements in nutrition </w:t>
      </w:r>
      <w:r w:rsidR="002300CD">
        <w:t xml:space="preserve">can have wide ranging positive effects. Proper nutrition supports the optimal growth and development of children, and renders them less liable to repeated bouts of infectious diseases. </w:t>
      </w:r>
    </w:p>
    <w:p w:rsidR="002300CD" w:rsidRDefault="002300CD" w:rsidP="007312F7">
      <w:pPr>
        <w:jc w:val="both"/>
      </w:pPr>
      <w:r>
        <w:t xml:space="preserve">To improve nutrition, measures including fortification of food with micronutrients like iron and folic acid; longer term bio fortification of staple crops to make them more nutritious; and provision of </w:t>
      </w:r>
      <w:r w:rsidR="00800872">
        <w:t>food supplements to vulnerable groups such as ill children, displaced individuals and pregnant women.</w:t>
      </w:r>
    </w:p>
    <w:p w:rsidR="002300CD" w:rsidRDefault="002300CD" w:rsidP="007312F7">
      <w:pPr>
        <w:jc w:val="both"/>
      </w:pPr>
    </w:p>
    <w:p w:rsidR="00ED3384" w:rsidRPr="00201C1A" w:rsidRDefault="002300CD" w:rsidP="007312F7">
      <w:pPr>
        <w:jc w:val="both"/>
        <w:rPr>
          <w:b/>
          <w:i/>
        </w:rPr>
      </w:pPr>
      <w:r>
        <w:t xml:space="preserve">Child undernutrition generates health costs equivalent to between 1 and 11 percent of the total public budget allocated to health. These costs are due to episodes directly associated with the incremental quantity and intensity of </w:t>
      </w:r>
      <w:r>
        <w:lastRenderedPageBreak/>
        <w:t>illnesses that affect underweight children and the protocols necessary for their treatment.</w:t>
      </w:r>
      <w:bookmarkStart w:id="90" w:name="_TOC87444"/>
      <w:bookmarkEnd w:id="90"/>
    </w:p>
    <w:p w:rsidR="00800872" w:rsidRDefault="00800872" w:rsidP="007312F7">
      <w:pPr>
        <w:jc w:val="both"/>
        <w:rPr>
          <w:rFonts w:ascii="Georgia" w:eastAsiaTheme="majorEastAsia" w:hAnsi="Georgia" w:cstheme="majorBidi"/>
          <w:bCs/>
          <w:color w:val="003865"/>
          <w:sz w:val="26"/>
          <w:szCs w:val="28"/>
        </w:rPr>
      </w:pPr>
      <w:bookmarkStart w:id="91" w:name="_TOC92351"/>
      <w:bookmarkEnd w:id="91"/>
      <w:r>
        <w:br w:type="page"/>
      </w:r>
    </w:p>
    <w:p w:rsidR="00ED3384" w:rsidRDefault="00ED3384" w:rsidP="007312F7">
      <w:pPr>
        <w:pStyle w:val="Heading1"/>
        <w:jc w:val="both"/>
      </w:pPr>
      <w:bookmarkStart w:id="92" w:name="_Toc411525498"/>
      <w:r>
        <w:lastRenderedPageBreak/>
        <w:t>Post 2015 Agenda and Maternal, Newborn and Child Health</w:t>
      </w:r>
      <w:bookmarkEnd w:id="92"/>
    </w:p>
    <w:p w:rsidR="00ED3384" w:rsidRDefault="00820C35" w:rsidP="007312F7">
      <w:pPr>
        <w:jc w:val="both"/>
      </w:pPr>
      <w:r>
        <w:t xml:space="preserve">The end of 2015 marks the end point for the </w:t>
      </w:r>
      <w:r w:rsidR="00482FD8">
        <w:t>MDGs</w:t>
      </w:r>
      <w:r>
        <w:t xml:space="preserve"> that have </w:t>
      </w:r>
      <w:r w:rsidR="006E4926">
        <w:t>galvanised</w:t>
      </w:r>
      <w:r>
        <w:t xml:space="preserve"> the world to </w:t>
      </w:r>
      <w:r w:rsidR="007F551B">
        <w:t xml:space="preserve">pursue the reduction of poverty through </w:t>
      </w:r>
      <w:r w:rsidR="006E4926">
        <w:t>ambitious</w:t>
      </w:r>
      <w:r w:rsidR="007F551B">
        <w:t xml:space="preserve"> targets. While there have been some marked successes with the MDGs, the </w:t>
      </w:r>
      <w:r w:rsidR="008F4AC7">
        <w:t>P</w:t>
      </w:r>
      <w:r w:rsidR="007F551B">
        <w:t>ost 2015 agenda represents an opportunity to complete the unfinished business that was started in 2000.</w:t>
      </w:r>
    </w:p>
    <w:p w:rsidR="007F551B" w:rsidRDefault="007F551B" w:rsidP="007312F7">
      <w:pPr>
        <w:jc w:val="both"/>
      </w:pPr>
    </w:p>
    <w:p w:rsidR="007F551B" w:rsidRDefault="007F551B" w:rsidP="007312F7">
      <w:pPr>
        <w:jc w:val="both"/>
      </w:pPr>
      <w:r>
        <w:t>In Africa, the</w:t>
      </w:r>
      <w:r w:rsidR="00EB4E08">
        <w:t xml:space="preserve"> </w:t>
      </w:r>
      <w:r w:rsidR="008F4AC7">
        <w:t>P</w:t>
      </w:r>
      <w:r w:rsidR="006E4926">
        <w:t>ost 2015 agenda should be framed within the long term vision of the A</w:t>
      </w:r>
      <w:r w:rsidR="00482FD8">
        <w:t>U</w:t>
      </w:r>
      <w:r w:rsidR="006E4926">
        <w:t xml:space="preserve"> Agenda 2063 to build an integrated, prosperous and peaceful Africa, an Africa driven and managed by its own citizen and representing a dynamic force in the international arena </w:t>
      </w:r>
      <w:r w:rsidR="00373FF7">
        <w:fldChar w:fldCharType="begin" w:fldLock="1"/>
      </w:r>
      <w:r w:rsidR="009676BD">
        <w:instrText>ADDIN CSL_CITATION { "citationItems" : [ { "id" : "ITEM-1", "itemData" : { "author" : [ { "dropping-particle" : "", "family" : "African Union Commission", "given" : "", "non-dropping-particle" : "", "parse-names" : false, "suffix" : "" } ], "id" : "ITEM-1", "issue" : "August", "issued" : { "date-parts" : [ [ "2013" ] ] }, "page" : "1-21", "title" : "AFRICAN UNION AGENDA 2063", "type" : "report" }, "uris" : [ "http://www.mendeley.com/documents/?uuid=adad7c56-5f94-42da-9ba0-701f455b4ad7" ] } ], "mendeley" : { "formattedCitation" : "&lt;sup&gt;29&lt;/sup&gt;", "plainTextFormattedCitation" : "29", "previouslyFormattedCitation" : "&lt;sup&gt;28&lt;/sup&gt;" }, "properties" : { "noteIndex" : 0 }, "schema" : "https://github.com/citation-style-language/schema/raw/master/csl-citation.json" }</w:instrText>
      </w:r>
      <w:r w:rsidR="00373FF7">
        <w:fldChar w:fldCharType="separate"/>
      </w:r>
      <w:r w:rsidR="009676BD" w:rsidRPr="009676BD">
        <w:rPr>
          <w:noProof/>
          <w:vertAlign w:val="superscript"/>
        </w:rPr>
        <w:t>29</w:t>
      </w:r>
      <w:r w:rsidR="00373FF7">
        <w:fldChar w:fldCharType="end"/>
      </w:r>
      <w:r w:rsidR="006E4926">
        <w:t>.</w:t>
      </w:r>
      <w:r w:rsidR="00273FB3">
        <w:t xml:space="preserve"> The </w:t>
      </w:r>
      <w:r w:rsidR="008F4AC7">
        <w:t>P</w:t>
      </w:r>
      <w:r w:rsidR="00273FB3">
        <w:t xml:space="preserve">ost 2015 agenda must therefore reinforce Agenda 2063, and ensure that the goals that are developed are driven by Africa and represent priorities and needs </w:t>
      </w:r>
      <w:r w:rsidR="00CC71FF">
        <w:t xml:space="preserve">of </w:t>
      </w:r>
      <w:r w:rsidR="00273FB3">
        <w:t>the African continent.</w:t>
      </w:r>
    </w:p>
    <w:p w:rsidR="00273FB3" w:rsidRDefault="00273FB3" w:rsidP="007312F7">
      <w:pPr>
        <w:jc w:val="both"/>
      </w:pPr>
    </w:p>
    <w:p w:rsidR="00273FB3" w:rsidRDefault="00273FB3" w:rsidP="007312F7">
      <w:pPr>
        <w:jc w:val="both"/>
      </w:pPr>
      <w:r>
        <w:t xml:space="preserve">The Common African </w:t>
      </w:r>
      <w:r w:rsidR="00A67EBA">
        <w:t>P</w:t>
      </w:r>
      <w:r>
        <w:t xml:space="preserve">osition on the </w:t>
      </w:r>
      <w:r w:rsidR="008F4AC7">
        <w:t>P</w:t>
      </w:r>
      <w:r>
        <w:t xml:space="preserve">ost 2015 development </w:t>
      </w:r>
      <w:r w:rsidR="00ED2510">
        <w:t>agenda, which was endorsed by Heads of States,</w:t>
      </w:r>
      <w:r>
        <w:t xml:space="preserve"> rightly identifies women and children as key to </w:t>
      </w:r>
      <w:r w:rsidR="003D1891">
        <w:t xml:space="preserve">meeting the </w:t>
      </w:r>
      <w:r w:rsidR="00DB7899">
        <w:t xml:space="preserve">development goals. </w:t>
      </w:r>
      <w:r w:rsidR="007A5327">
        <w:t>The Common African Position aims to improve the health status of people living in vulnerable situation such as mothers, newborns, children, youth, the unemployed, the elder</w:t>
      </w:r>
      <w:r w:rsidR="0005182D">
        <w:t>ly and people with disabilities. Through</w:t>
      </w:r>
      <w:r w:rsidR="007A5327">
        <w:t xml:space="preserve"> reducing the incidence of communicable diseases, non-communicable diseases (e.g. mental health) and emerging diseases; ending the epidemics of HIV and AIDS, tuberculosis and malaria; reducing malnutrition; and improving hygiene and sanitation </w:t>
      </w:r>
      <w:r w:rsidR="00373FF7">
        <w:fldChar w:fldCharType="begin" w:fldLock="1"/>
      </w:r>
      <w:r w:rsidR="009676BD">
        <w:instrText>ADDIN CSL_CITATION { "citationItems" : [ { "id" : "ITEM-1", "itemData" : { "author" : [ { "dropping-particle" : "", "family" : "African Union", "given" : "", "non-dropping-particle" : "", "parse-names" : false, "suffix" : "" } ], "id" : "ITEM-1", "issued" : { "date-parts" : [ [ "2014" ] ] }, "page" : "1-20", "title" : "COMMON AFRICAN POSITION ( CAP ) ON THE POST- 2015 DEVELOPMENT AGENDA", "type" : "report" }, "uris" : [ "http://www.mendeley.com/documents/?uuid=b50d9099-b518-4bae-84ce-e6fd5733017f" ] } ], "mendeley" : { "formattedCitation" : "&lt;sup&gt;30&lt;/sup&gt;", "plainTextFormattedCitation" : "30", "previouslyFormattedCitation" : "&lt;sup&gt;29&lt;/sup&gt;" }, "properties" : { "noteIndex" : 0 }, "schema" : "https://github.com/citation-style-language/schema/raw/master/csl-citation.json" }</w:instrText>
      </w:r>
      <w:r w:rsidR="00373FF7">
        <w:fldChar w:fldCharType="separate"/>
      </w:r>
      <w:r w:rsidR="009676BD" w:rsidRPr="009676BD">
        <w:rPr>
          <w:noProof/>
          <w:vertAlign w:val="superscript"/>
        </w:rPr>
        <w:t>30</w:t>
      </w:r>
      <w:r w:rsidR="00373FF7">
        <w:fldChar w:fldCharType="end"/>
      </w:r>
      <w:r w:rsidR="007A5327">
        <w:t>.</w:t>
      </w:r>
      <w:r w:rsidR="00DE6BD3">
        <w:t xml:space="preserve">There is also commitment to strengthening the health system and ensuring universal health access, all of which are extremely important to include in the </w:t>
      </w:r>
      <w:r w:rsidR="008F4AC7">
        <w:t>P</w:t>
      </w:r>
      <w:r w:rsidR="00DE6BD3">
        <w:t>ost 2015 agenda. The Common African Position reiterates ensuring universal and equitable access to quality healthcare, including universal access to comprehensive sexual reproductive health and reproductive rights (e.g. family planning); improving health systems and health financing, and medical infrastructure, the local manufacturing of health equipment; and setting up monitoring and evaluation, and quality assurance systems.</w:t>
      </w:r>
    </w:p>
    <w:p w:rsidR="00DE6BD3" w:rsidRDefault="00DE6BD3" w:rsidP="007312F7">
      <w:pPr>
        <w:jc w:val="both"/>
      </w:pPr>
    </w:p>
    <w:p w:rsidR="00DE6BD3" w:rsidRDefault="007A5327" w:rsidP="007312F7">
      <w:pPr>
        <w:jc w:val="both"/>
      </w:pPr>
      <w:r>
        <w:t xml:space="preserve">Emphasis should be placed on the centrality of </w:t>
      </w:r>
      <w:r w:rsidR="00ED2510">
        <w:t>MNCH</w:t>
      </w:r>
      <w:r>
        <w:t xml:space="preserve">. Improvements in MNCH will ultimately lead to increased productivity, increased economic outcomes, and societies that are more equitable. </w:t>
      </w:r>
      <w:r w:rsidR="00440B1F">
        <w:t xml:space="preserve">It is essential that explicit emphasis on maternal and child health </w:t>
      </w:r>
      <w:r w:rsidR="00ED2510">
        <w:t>is</w:t>
      </w:r>
      <w:r w:rsidR="00EB4E08">
        <w:t xml:space="preserve"> </w:t>
      </w:r>
      <w:r w:rsidR="00440B1F">
        <w:t xml:space="preserve">maintained in the </w:t>
      </w:r>
      <w:r w:rsidR="008F4AC7">
        <w:t>P</w:t>
      </w:r>
      <w:r w:rsidR="00440B1F">
        <w:t>ost 2015 development agenda.</w:t>
      </w:r>
      <w:r w:rsidR="0093235D">
        <w:t xml:space="preserve"> MDGs 4 and 5 are one the goals that were </w:t>
      </w:r>
      <w:r w:rsidR="00E30E9D">
        <w:t>off-track</w:t>
      </w:r>
      <w:r w:rsidR="0093235D">
        <w:t xml:space="preserve"> in most parts of the world and particularly in Africa. It is therefore </w:t>
      </w:r>
      <w:r w:rsidR="003F64C0">
        <w:t xml:space="preserve">imperative that these goals continued to be pursued </w:t>
      </w:r>
      <w:r w:rsidR="005558FA">
        <w:t>post 2015</w:t>
      </w:r>
      <w:r w:rsidR="003F64C0">
        <w:t>.</w:t>
      </w:r>
    </w:p>
    <w:p w:rsidR="003F64C0" w:rsidRDefault="003F64C0" w:rsidP="007312F7">
      <w:pPr>
        <w:jc w:val="both"/>
      </w:pPr>
    </w:p>
    <w:p w:rsidR="00ED2510" w:rsidRDefault="003F64C0" w:rsidP="007312F7">
      <w:pPr>
        <w:jc w:val="both"/>
      </w:pPr>
      <w:r>
        <w:t xml:space="preserve">One of the ways in which the </w:t>
      </w:r>
      <w:r w:rsidR="008F4AC7">
        <w:t>P</w:t>
      </w:r>
      <w:r>
        <w:t>ost 2015 development agenda can be harmonised with African Union instruments, is with the AU goal of ending preventable maternal deaths by 2030. This can be a discrete and targeted addition to the 2015 development agenda.</w:t>
      </w:r>
      <w:r w:rsidR="009B36C1">
        <w:t xml:space="preserve"> A </w:t>
      </w:r>
      <w:r w:rsidR="00ED2510">
        <w:t xml:space="preserve">renewed </w:t>
      </w:r>
      <w:r w:rsidR="009B36C1">
        <w:t>continental campaign “Zero by Thirty” would continue to place MNCH firmly on the agenda, and maintain the high level support.</w:t>
      </w:r>
      <w:r w:rsidR="00ED2510">
        <w:t xml:space="preserve"> The continental campaign would be able to garner international support, as well as Africa wide buy in to make it an effective partner to the Post 2015 Agenda. </w:t>
      </w:r>
    </w:p>
    <w:p w:rsidR="00ED2510" w:rsidRDefault="00ED2510" w:rsidP="007312F7">
      <w:pPr>
        <w:jc w:val="both"/>
      </w:pPr>
    </w:p>
    <w:p w:rsidR="003F64C0" w:rsidRDefault="00ED2510" w:rsidP="007312F7">
      <w:pPr>
        <w:jc w:val="both"/>
      </w:pPr>
      <w:r>
        <w:t>The</w:t>
      </w:r>
      <w:r w:rsidR="00EB4E08">
        <w:t xml:space="preserve"> </w:t>
      </w:r>
      <w:r w:rsidR="008F4AC7">
        <w:t>P</w:t>
      </w:r>
      <w:r w:rsidR="00EC6FFE">
        <w:t xml:space="preserve">ost 2015 development goals </w:t>
      </w:r>
      <w:r>
        <w:t xml:space="preserve">should </w:t>
      </w:r>
      <w:r w:rsidR="00EC6FFE">
        <w:t>contain</w:t>
      </w:r>
      <w:r w:rsidR="00B84983">
        <w:t>:</w:t>
      </w:r>
    </w:p>
    <w:p w:rsidR="00B84983" w:rsidRDefault="00B84983" w:rsidP="007312F7">
      <w:pPr>
        <w:pStyle w:val="ListParagraph"/>
        <w:numPr>
          <w:ilvl w:val="0"/>
          <w:numId w:val="4"/>
        </w:numPr>
        <w:jc w:val="both"/>
      </w:pPr>
      <w:r>
        <w:t>A discrete health goal</w:t>
      </w:r>
      <w:r w:rsidR="00EC6FFE">
        <w:t xml:space="preserve"> that emphasises universal access to health with end</w:t>
      </w:r>
      <w:r w:rsidR="008B6730">
        <w:t xml:space="preserve">ing preventable maternal deaths, </w:t>
      </w:r>
      <w:r w:rsidR="00EC6FFE">
        <w:t>improving child health</w:t>
      </w:r>
      <w:r w:rsidR="008B6730">
        <w:t xml:space="preserve"> and ensuring </w:t>
      </w:r>
      <w:r w:rsidR="00482FD8">
        <w:t>SRHR</w:t>
      </w:r>
      <w:r w:rsidR="00EC6FFE">
        <w:t xml:space="preserve"> at its core. The goal should emphasise strengthening of the health system, </w:t>
      </w:r>
      <w:r w:rsidR="008B6730">
        <w:t>improving the health workforce, sustainable contributions to financing the h</w:t>
      </w:r>
      <w:r w:rsidR="00651D90">
        <w:t>ealth system, delivery of quality health services</w:t>
      </w:r>
      <w:r w:rsidR="008B6730">
        <w:t xml:space="preserve"> and secure commodities and medical supplies</w:t>
      </w:r>
    </w:p>
    <w:p w:rsidR="008B6730" w:rsidRDefault="008B6730" w:rsidP="007312F7">
      <w:pPr>
        <w:pStyle w:val="ListParagraph"/>
        <w:numPr>
          <w:ilvl w:val="0"/>
          <w:numId w:val="4"/>
        </w:numPr>
        <w:jc w:val="both"/>
      </w:pPr>
      <w:r>
        <w:lastRenderedPageBreak/>
        <w:t xml:space="preserve">Focusing on </w:t>
      </w:r>
      <w:r w:rsidR="00651D90">
        <w:t>the most vulnerable populations, key populations and populations in rural areas to ensure that health service delivery is equitable. There should be recognition of the role that communities play in the delivery and maintenance of good health</w:t>
      </w:r>
    </w:p>
    <w:p w:rsidR="008B6730" w:rsidRDefault="008B6730" w:rsidP="007312F7">
      <w:pPr>
        <w:pStyle w:val="ListParagraph"/>
        <w:numPr>
          <w:ilvl w:val="0"/>
          <w:numId w:val="4"/>
        </w:numPr>
        <w:jc w:val="both"/>
      </w:pPr>
      <w:r>
        <w:t xml:space="preserve">Recognise the various interactions of health with other sectors, particularly education, agriculture and poverty reduction. Composite </w:t>
      </w:r>
      <w:r w:rsidR="00651D90">
        <w:t>indicators that recognise this and show that health is not a standalone intervention will be necessary</w:t>
      </w:r>
    </w:p>
    <w:p w:rsidR="00651D90" w:rsidRDefault="00651D90" w:rsidP="007312F7">
      <w:pPr>
        <w:pStyle w:val="ListParagraph"/>
        <w:numPr>
          <w:ilvl w:val="0"/>
          <w:numId w:val="4"/>
        </w:numPr>
        <w:jc w:val="both"/>
      </w:pPr>
      <w:r>
        <w:t>In line with the process being Africa driven, the overarching goal i.e. ending preventable maternal deaths by 2030 should be shared by all countries, but individual country targets should be set. The indicators should be reinforced by stronger monitoring and evaluation systems in countries</w:t>
      </w:r>
    </w:p>
    <w:p w:rsidR="007A1DB4" w:rsidRDefault="007A1DB4" w:rsidP="007312F7">
      <w:pPr>
        <w:jc w:val="both"/>
      </w:pPr>
    </w:p>
    <w:p w:rsidR="007A1DB4" w:rsidRDefault="007A1DB4" w:rsidP="007312F7">
      <w:pPr>
        <w:jc w:val="both"/>
      </w:pPr>
      <w:r>
        <w:t xml:space="preserve">African countries should work to ensure that </w:t>
      </w:r>
      <w:r w:rsidR="00FC374E">
        <w:t xml:space="preserve">the </w:t>
      </w:r>
      <w:r w:rsidR="008F4AC7">
        <w:t>P</w:t>
      </w:r>
      <w:r w:rsidR="00FC374E">
        <w:t xml:space="preserve">ost 2015 development agenda is further articulated and refined at subnational levels, </w:t>
      </w:r>
      <w:r w:rsidR="00ED2510">
        <w:t xml:space="preserve">for more efficient implementation. </w:t>
      </w:r>
      <w:r w:rsidR="00FC374E">
        <w:t xml:space="preserve">Refining the goals to include subnational targets will ensure that the main implementers of the </w:t>
      </w:r>
      <w:r w:rsidR="008F4AC7">
        <w:t>P</w:t>
      </w:r>
      <w:r w:rsidR="00FC374E">
        <w:t>ost 2015 agenda are able to track, influence, correct and report on the indicators and achievements.</w:t>
      </w:r>
    </w:p>
    <w:p w:rsidR="007876A6" w:rsidRDefault="007876A6" w:rsidP="007312F7">
      <w:pPr>
        <w:jc w:val="both"/>
      </w:pPr>
    </w:p>
    <w:p w:rsidR="007876A6" w:rsidRDefault="007876A6" w:rsidP="007312F7">
      <w:pPr>
        <w:jc w:val="both"/>
      </w:pPr>
      <w:r>
        <w:br w:type="page"/>
      </w:r>
    </w:p>
    <w:p w:rsidR="00C12BBD" w:rsidRDefault="00C12BBD" w:rsidP="007312F7">
      <w:pPr>
        <w:pStyle w:val="Heading1"/>
        <w:jc w:val="both"/>
      </w:pPr>
      <w:bookmarkStart w:id="93" w:name="_TOC97043"/>
      <w:bookmarkStart w:id="94" w:name="_Toc411525499"/>
      <w:bookmarkEnd w:id="93"/>
      <w:r>
        <w:lastRenderedPageBreak/>
        <w:t>Opportunities and Recommendations for Maternal Newborn and Child Health</w:t>
      </w:r>
      <w:bookmarkEnd w:id="94"/>
    </w:p>
    <w:p w:rsidR="005544F3" w:rsidRDefault="005544F3" w:rsidP="007312F7">
      <w:pPr>
        <w:pStyle w:val="Heading2"/>
        <w:jc w:val="both"/>
      </w:pPr>
      <w:bookmarkStart w:id="95" w:name="_Toc411525500"/>
      <w:r>
        <w:t>Opportunities</w:t>
      </w:r>
      <w:bookmarkEnd w:id="95"/>
    </w:p>
    <w:p w:rsidR="00C12BBD" w:rsidRDefault="00C12BBD" w:rsidP="007312F7">
      <w:pPr>
        <w:jc w:val="both"/>
      </w:pPr>
      <w:r>
        <w:t>There have been several opportunities and lessons emanating from the implementation of MNCH programmes and attainment of MDG 4 and 5 targets. These lessons are synthesised by considering the trajectory of maternal health</w:t>
      </w:r>
      <w:r w:rsidR="005544F3">
        <w:t xml:space="preserve"> </w:t>
      </w:r>
      <w:r>
        <w:t xml:space="preserve">interventions in Africa, and how key commitments such as the MDGs and Maputo plan of action have led to gains in MNCH. </w:t>
      </w:r>
    </w:p>
    <w:p w:rsidR="00C12BBD" w:rsidRDefault="00C12BBD" w:rsidP="007312F7">
      <w:pPr>
        <w:jc w:val="both"/>
      </w:pPr>
    </w:p>
    <w:p w:rsidR="005544F3" w:rsidRDefault="005544F3" w:rsidP="007312F7">
      <w:pPr>
        <w:jc w:val="both"/>
      </w:pPr>
      <w:r>
        <w:t>The main lessons and opportunities are:</w:t>
      </w:r>
    </w:p>
    <w:p w:rsidR="005544F3" w:rsidRDefault="005544F3" w:rsidP="007312F7">
      <w:pPr>
        <w:jc w:val="both"/>
      </w:pPr>
    </w:p>
    <w:p w:rsidR="005544F3" w:rsidRDefault="005544F3" w:rsidP="007312F7">
      <w:pPr>
        <w:pStyle w:val="ListParagraph"/>
        <w:numPr>
          <w:ilvl w:val="0"/>
          <w:numId w:val="4"/>
        </w:numPr>
        <w:jc w:val="both"/>
      </w:pPr>
      <w:r w:rsidRPr="00201C1A">
        <w:rPr>
          <w:b/>
          <w:i/>
        </w:rPr>
        <w:t xml:space="preserve">Political will is extremely important: </w:t>
      </w:r>
      <w:r>
        <w:t xml:space="preserve">Without strong political will and support for the MDGs, very little improvements in MNCH can occur. African leaders have been instrumental in providing high level support and prioritising MNCH, which has resulted in transformational gains in a number of African countries. </w:t>
      </w:r>
      <w:r w:rsidRPr="00673C42">
        <w:t>Maternal health is an unfinished business requiring renewed vigour and determination in the post 2015</w:t>
      </w:r>
      <w:r>
        <w:t xml:space="preserve"> </w:t>
      </w:r>
      <w:r w:rsidRPr="00673C42">
        <w:t xml:space="preserve"> development agenda. Maternal health should continue being a central focus in Africa in recognition of the benefits of improved maternal and child health in spu</w:t>
      </w:r>
      <w:r>
        <w:t>rring the socio-economic growth.</w:t>
      </w:r>
    </w:p>
    <w:p w:rsidR="005544F3" w:rsidRDefault="005544F3" w:rsidP="007312F7">
      <w:pPr>
        <w:pStyle w:val="ListParagraph"/>
        <w:numPr>
          <w:ilvl w:val="0"/>
          <w:numId w:val="4"/>
        </w:numPr>
        <w:jc w:val="both"/>
      </w:pPr>
      <w:r>
        <w:rPr>
          <w:b/>
          <w:i/>
        </w:rPr>
        <w:t>Renewed</w:t>
      </w:r>
      <w:r w:rsidRPr="0089552A">
        <w:rPr>
          <w:b/>
          <w:i/>
        </w:rPr>
        <w:t xml:space="preserve"> focus on human resources for health: </w:t>
      </w:r>
      <w:r>
        <w:t>The availability of skilled personnel that are trained to deal with child and maternal health is one of the most important interventions in the reduction of preventable deaths. Investments in human resources for health need to be adequately planned, budgeted and executed. These plans should be coupled with plans to retain staff and equitably distribute human resources between rural and urban areas.</w:t>
      </w:r>
    </w:p>
    <w:p w:rsidR="005544F3" w:rsidRDefault="005544F3" w:rsidP="007312F7">
      <w:pPr>
        <w:pStyle w:val="ListParagraph"/>
        <w:numPr>
          <w:ilvl w:val="0"/>
          <w:numId w:val="4"/>
        </w:numPr>
        <w:jc w:val="both"/>
      </w:pPr>
      <w:r w:rsidRPr="00201C1A">
        <w:rPr>
          <w:b/>
          <w:i/>
        </w:rPr>
        <w:t xml:space="preserve">Health systems should be strengthened: </w:t>
      </w:r>
      <w:r>
        <w:t>Stronger health systems are able to meet the demands of ambitious targets. Stronger health systems are also able to respond to emergent needs, and sustain routine healthcare. Health systems that have appropriate numbers of human resources, adequate health financing, consistent supply of medical equipment and pharmaceuticals, constant improvement of service delivery, and the empowered management and leadership; have been able to make massive strides towards the MDGs. Strengthening health systems must be seen as integral to any health intervention Post 2015.</w:t>
      </w:r>
    </w:p>
    <w:p w:rsidR="005544F3" w:rsidRDefault="005544F3" w:rsidP="007312F7">
      <w:pPr>
        <w:pStyle w:val="ListParagraph"/>
        <w:numPr>
          <w:ilvl w:val="0"/>
          <w:numId w:val="4"/>
        </w:numPr>
        <w:jc w:val="both"/>
      </w:pPr>
      <w:r w:rsidRPr="00201C1A">
        <w:rPr>
          <w:b/>
          <w:i/>
        </w:rPr>
        <w:t>Partnerships can work</w:t>
      </w:r>
      <w:r>
        <w:t xml:space="preserve">: Partnerships between Governments, NGOs and the private sector </w:t>
      </w:r>
      <w:r w:rsidRPr="00A44837">
        <w:t xml:space="preserve">have </w:t>
      </w:r>
      <w:r>
        <w:t xml:space="preserve">led to increased </w:t>
      </w:r>
      <w:r w:rsidRPr="00A44837">
        <w:t>funding</w:t>
      </w:r>
      <w:r>
        <w:t xml:space="preserve"> and focus on </w:t>
      </w:r>
      <w:r w:rsidRPr="00A44837">
        <w:t>a number of diseases and causes</w:t>
      </w:r>
      <w:r>
        <w:t xml:space="preserve"> of mortality</w:t>
      </w:r>
      <w:r w:rsidRPr="00A44837">
        <w:t xml:space="preserve">. There is however, a need to </w:t>
      </w:r>
      <w:r>
        <w:t>e</w:t>
      </w:r>
      <w:r w:rsidRPr="00A44837">
        <w:t xml:space="preserve">nsure adequate representation of those most affected, </w:t>
      </w:r>
      <w:r>
        <w:t xml:space="preserve">including </w:t>
      </w:r>
      <w:r w:rsidRPr="00A44837">
        <w:t xml:space="preserve">greater </w:t>
      </w:r>
      <w:r>
        <w:t>involvement of communities and key populations in decision making. More synergistic partnerships with other development sectors particularly, education and agriculture, will make partnerships more effective.</w:t>
      </w:r>
    </w:p>
    <w:p w:rsidR="005544F3" w:rsidRPr="00053F02" w:rsidRDefault="005544F3" w:rsidP="007312F7">
      <w:pPr>
        <w:pStyle w:val="ListParagraph"/>
        <w:numPr>
          <w:ilvl w:val="0"/>
          <w:numId w:val="4"/>
        </w:numPr>
        <w:jc w:val="both"/>
      </w:pPr>
      <w:r w:rsidRPr="00201C1A">
        <w:rPr>
          <w:b/>
          <w:i/>
        </w:rPr>
        <w:t xml:space="preserve">Integrated services can be effective: </w:t>
      </w:r>
      <w:r>
        <w:t>Integrated approaches to service delivery have been effective in some spheres. I</w:t>
      </w:r>
      <w:r w:rsidRPr="00053F02">
        <w:t>ntegrat</w:t>
      </w:r>
      <w:r>
        <w:t>ed a</w:t>
      </w:r>
      <w:r w:rsidRPr="00053F02">
        <w:t>pproaches to maternal and neonatal care, sexual and reproductive health, HIV, malaria and tuberculosis</w:t>
      </w:r>
      <w:r>
        <w:t xml:space="preserve"> have been largely effective, and have improved outcomes</w:t>
      </w:r>
      <w:r w:rsidRPr="00053F02">
        <w:t xml:space="preserve">. </w:t>
      </w:r>
      <w:r>
        <w:t xml:space="preserve">The success of integration of prevention of mother to child transmission services is a prime example of the usefulness of integrating services. </w:t>
      </w:r>
      <w:r w:rsidRPr="00053F02">
        <w:t>Integrated</w:t>
      </w:r>
      <w:r>
        <w:t xml:space="preserve"> </w:t>
      </w:r>
      <w:r w:rsidRPr="00053F02">
        <w:t>services</w:t>
      </w:r>
      <w:r>
        <w:t xml:space="preserve"> can have major impact, but are unlikely to fully achieve desired impacts </w:t>
      </w:r>
      <w:r w:rsidRPr="00053F02">
        <w:t xml:space="preserve">unless </w:t>
      </w:r>
      <w:r>
        <w:t xml:space="preserve">there is strong political will; and </w:t>
      </w:r>
      <w:r w:rsidRPr="00053F02">
        <w:t xml:space="preserve">government officials and key stakeholders are supportive of the approach. </w:t>
      </w:r>
      <w:r>
        <w:t xml:space="preserve">Integration of services also needs to ensure that </w:t>
      </w:r>
      <w:r w:rsidRPr="00053F02">
        <w:t>existing services are not overburdened</w:t>
      </w:r>
      <w:r>
        <w:t xml:space="preserve"> and staff are </w:t>
      </w:r>
      <w:r w:rsidRPr="00053F02">
        <w:t xml:space="preserve">sufficiently trained to </w:t>
      </w:r>
      <w:r>
        <w:t>support service</w:t>
      </w:r>
      <w:r w:rsidRPr="00053F02">
        <w:t xml:space="preserve"> integration</w:t>
      </w:r>
      <w:r>
        <w:t>.</w:t>
      </w:r>
    </w:p>
    <w:p w:rsidR="005544F3" w:rsidRPr="00201C1A" w:rsidRDefault="005544F3" w:rsidP="007312F7">
      <w:pPr>
        <w:pStyle w:val="ListParagraph"/>
        <w:numPr>
          <w:ilvl w:val="0"/>
          <w:numId w:val="4"/>
        </w:numPr>
        <w:jc w:val="both"/>
        <w:rPr>
          <w:b/>
          <w:i/>
        </w:rPr>
      </w:pPr>
      <w:r w:rsidRPr="00201C1A">
        <w:rPr>
          <w:b/>
          <w:i/>
        </w:rPr>
        <w:lastRenderedPageBreak/>
        <w:t xml:space="preserve">Health financing is important: </w:t>
      </w:r>
      <w:r>
        <w:t>Low investment in health will continue to hamper adequate improvements in health. There should be commitment to ringfencing health budgets and increasing allocation of national budgets to health. Reduction of out of pocket health expenditure on patients, particularly the waiver of user fees for pregnant women and children is important. The use of commitments such as the Abuja declaration of allocating 15% of national budgets to health should be materialised. Exploring other innovative models for domestic financing of health system is also required.</w:t>
      </w:r>
    </w:p>
    <w:p w:rsidR="005544F3" w:rsidRPr="00201C1A" w:rsidRDefault="005544F3" w:rsidP="007312F7">
      <w:pPr>
        <w:pStyle w:val="ListParagraph"/>
        <w:numPr>
          <w:ilvl w:val="0"/>
          <w:numId w:val="4"/>
        </w:numPr>
        <w:jc w:val="both"/>
        <w:rPr>
          <w:b/>
          <w:i/>
        </w:rPr>
      </w:pPr>
      <w:r w:rsidRPr="00201C1A">
        <w:rPr>
          <w:b/>
          <w:i/>
        </w:rPr>
        <w:t xml:space="preserve">Better quality data is required: </w:t>
      </w:r>
      <w:r>
        <w:t>There are very few standardised data collection tools, and the quality of data remains variable. It is important to recognise that quality data will enable better goal setting of policy and interventions; and is thus vitally important that data collection and quality is improved. Collective improvements in health information systems, civil and vital registration are necessary. Also crucial, is the strengthening of maternal death surveillance reporting.</w:t>
      </w:r>
    </w:p>
    <w:p w:rsidR="005544F3" w:rsidRPr="00201C1A" w:rsidRDefault="005544F3" w:rsidP="007312F7">
      <w:pPr>
        <w:pStyle w:val="ListParagraph"/>
        <w:numPr>
          <w:ilvl w:val="0"/>
          <w:numId w:val="4"/>
        </w:numPr>
        <w:jc w:val="both"/>
        <w:rPr>
          <w:b/>
          <w:i/>
        </w:rPr>
      </w:pPr>
      <w:r w:rsidRPr="00201C1A">
        <w:rPr>
          <w:b/>
          <w:i/>
        </w:rPr>
        <w:t xml:space="preserve">Low cost high impact interventions can lead to dramatic changes: </w:t>
      </w:r>
      <w:r>
        <w:t>Low cost high impact interventions have the potential to lead to marked improvements in maternal and child health. Low cost interventions such as misoprostol for prevention of postpartum haemorrhage; community treatment of pneumonia, have all shown incredible potential. However, low cost interventions also need to be supported by improvements in secondary health care and comprehensive emergency obstetric and neonatal care.</w:t>
      </w:r>
    </w:p>
    <w:p w:rsidR="005544F3" w:rsidRPr="00201C1A" w:rsidRDefault="005544F3" w:rsidP="007312F7">
      <w:pPr>
        <w:pStyle w:val="ListParagraph"/>
        <w:numPr>
          <w:ilvl w:val="0"/>
          <w:numId w:val="4"/>
        </w:numPr>
        <w:jc w:val="both"/>
        <w:rPr>
          <w:b/>
          <w:i/>
        </w:rPr>
      </w:pPr>
      <w:r w:rsidRPr="00201C1A">
        <w:rPr>
          <w:b/>
          <w:i/>
        </w:rPr>
        <w:t xml:space="preserve">Core focus on women and children will have impacts on poverty: </w:t>
      </w:r>
      <w:r>
        <w:t>Maintaining a focus on women and children, including socioeconomic and cultural factors, can have immense effect on health and poverty reduction. Significantly improving the gender and power relations in societies can improve access and utilisation of health care services. Improving the livelihood and economic potential of women, not only has positive impact on children, but also can improve household incomes and health seeking behaviours.</w:t>
      </w:r>
    </w:p>
    <w:p w:rsidR="005544F3" w:rsidRDefault="005544F3" w:rsidP="007312F7">
      <w:pPr>
        <w:pStyle w:val="ListParagraph"/>
        <w:numPr>
          <w:ilvl w:val="0"/>
          <w:numId w:val="4"/>
        </w:numPr>
        <w:jc w:val="both"/>
      </w:pPr>
      <w:r w:rsidRPr="00BF57F5">
        <w:rPr>
          <w:b/>
          <w:i/>
        </w:rPr>
        <w:t xml:space="preserve">Linkages with other development areas: </w:t>
      </w:r>
      <w:r>
        <w:t>Health cannot be considered in isolation and shares commonalities with other development areas that have profound effects on attainment of health goals. Shared goals with education, agriculture and other development areas are a significant opportunity to improve MNCH on the continent.</w:t>
      </w:r>
    </w:p>
    <w:p w:rsidR="00C12BBD" w:rsidRDefault="00C12BBD" w:rsidP="007312F7">
      <w:pPr>
        <w:jc w:val="both"/>
      </w:pPr>
    </w:p>
    <w:p w:rsidR="007876A6" w:rsidRDefault="007876A6" w:rsidP="007312F7">
      <w:pPr>
        <w:pStyle w:val="Heading2"/>
        <w:jc w:val="both"/>
      </w:pPr>
      <w:bookmarkStart w:id="96" w:name="_Toc411525501"/>
      <w:r>
        <w:t>Recommendations</w:t>
      </w:r>
      <w:bookmarkEnd w:id="96"/>
    </w:p>
    <w:p w:rsidR="005750A1" w:rsidRDefault="009978FA" w:rsidP="007312F7">
      <w:pPr>
        <w:jc w:val="both"/>
      </w:pPr>
      <w:r>
        <w:t>M</w:t>
      </w:r>
      <w:r w:rsidR="000C32F0">
        <w:t>NCH</w:t>
      </w:r>
      <w:r>
        <w:t xml:space="preserve"> is</w:t>
      </w:r>
      <w:r w:rsidR="00EB4E08">
        <w:t xml:space="preserve"> </w:t>
      </w:r>
      <w:r>
        <w:t>irrefutably important for the future</w:t>
      </w:r>
      <w:r w:rsidR="00E95A1B">
        <w:t xml:space="preserve"> </w:t>
      </w:r>
      <w:r w:rsidR="0092515B">
        <w:t>sustainable development</w:t>
      </w:r>
      <w:r>
        <w:t xml:space="preserve"> of the African continent. It </w:t>
      </w:r>
      <w:r w:rsidR="005750A1">
        <w:t>is</w:t>
      </w:r>
      <w:r>
        <w:t xml:space="preserve"> essential to continue positioning MNCH high on the </w:t>
      </w:r>
      <w:r w:rsidR="008F3D82">
        <w:t xml:space="preserve">continental development </w:t>
      </w:r>
      <w:r>
        <w:t xml:space="preserve">agenda. </w:t>
      </w:r>
      <w:r w:rsidR="008F3D82">
        <w:t>E</w:t>
      </w:r>
      <w:r>
        <w:t>nding prev</w:t>
      </w:r>
      <w:r w:rsidR="005750A1">
        <w:t xml:space="preserve">entable maternal </w:t>
      </w:r>
      <w:r w:rsidR="008F3D82">
        <w:t xml:space="preserve">and child </w:t>
      </w:r>
      <w:r w:rsidR="005750A1">
        <w:t>deaths by 2030</w:t>
      </w:r>
      <w:r w:rsidR="008F3D82">
        <w:t xml:space="preserve"> is a viable and feasible goal, which</w:t>
      </w:r>
      <w:r w:rsidR="00EB4E08">
        <w:t xml:space="preserve"> sh</w:t>
      </w:r>
      <w:r w:rsidR="008F3D82">
        <w:t>ould be pursued</w:t>
      </w:r>
      <w:r w:rsidR="005750A1">
        <w:t>. T</w:t>
      </w:r>
      <w:r>
        <w:t>his should be</w:t>
      </w:r>
      <w:r w:rsidR="00E95A1B">
        <w:t xml:space="preserve"> </w:t>
      </w:r>
      <w:r w:rsidR="00EB4E08">
        <w:t>advocated as</w:t>
      </w:r>
      <w:r w:rsidR="00BA0F58">
        <w:t xml:space="preserve"> the</w:t>
      </w:r>
      <w:r w:rsidR="00201C1A">
        <w:t xml:space="preserve"> </w:t>
      </w:r>
      <w:r w:rsidR="00BA0F58">
        <w:t xml:space="preserve">tagline and motto to position maternal </w:t>
      </w:r>
      <w:r w:rsidR="008F3D82">
        <w:t xml:space="preserve">and child </w:t>
      </w:r>
      <w:r w:rsidR="00BA0F58">
        <w:t>health.</w:t>
      </w:r>
    </w:p>
    <w:p w:rsidR="005750A1" w:rsidRDefault="005750A1" w:rsidP="007312F7">
      <w:pPr>
        <w:jc w:val="both"/>
      </w:pPr>
    </w:p>
    <w:p w:rsidR="00B64536" w:rsidDel="00B64536" w:rsidRDefault="00BA0F58" w:rsidP="007312F7">
      <w:pPr>
        <w:jc w:val="both"/>
      </w:pPr>
      <w:r>
        <w:t>It is recommended that</w:t>
      </w:r>
      <w:r w:rsidR="008F3D82">
        <w:t xml:space="preserve"> the CARMMA post 2015 focuses on a new theme</w:t>
      </w:r>
      <w:r w:rsidR="00B64536">
        <w:t>/slogan</w:t>
      </w:r>
      <w:r w:rsidR="00EB4E08">
        <w:t xml:space="preserve"> </w:t>
      </w:r>
      <w:r>
        <w:t xml:space="preserve">“Zero by Thirty” which encapsulates the aspirations of achieving the elimination of preventable maternal </w:t>
      </w:r>
      <w:r w:rsidR="008F3D82">
        <w:t xml:space="preserve">and child </w:t>
      </w:r>
      <w:r>
        <w:t xml:space="preserve">deaths by 2030. </w:t>
      </w:r>
      <w:r w:rsidR="008F3D82">
        <w:t xml:space="preserve">The campaign will advocate and lobby for the adoption of </w:t>
      </w:r>
      <w:r w:rsidR="00B64536">
        <w:t>“</w:t>
      </w:r>
      <w:r w:rsidR="008F3D82">
        <w:t xml:space="preserve">low cost high impact </w:t>
      </w:r>
      <w:r w:rsidR="00B64536">
        <w:t>interventions” by Member States in a bid to eliminate maternal and child deaths. A strong accountability mechanism will be put</w:t>
      </w:r>
      <w:r w:rsidR="00EB4E08">
        <w:t xml:space="preserve"> </w:t>
      </w:r>
      <w:r w:rsidR="00B64536">
        <w:t xml:space="preserve">in place to monitor progress made by Member States in reducing preventable maternal and child deaths. </w:t>
      </w:r>
      <w:r w:rsidR="005750A1">
        <w:t xml:space="preserve">The campaign </w:t>
      </w:r>
      <w:r w:rsidR="00B64536">
        <w:t>will be in tandem</w:t>
      </w:r>
      <w:r w:rsidR="005750A1">
        <w:t xml:space="preserve"> </w:t>
      </w:r>
      <w:r w:rsidR="005750A1">
        <w:lastRenderedPageBreak/>
        <w:t xml:space="preserve">with </w:t>
      </w:r>
      <w:r w:rsidR="00B64536">
        <w:t xml:space="preserve">agenda 2063, the CAP and consistent to the extent possible with </w:t>
      </w:r>
      <w:r w:rsidR="005750A1">
        <w:t xml:space="preserve">the Post 2015 </w:t>
      </w:r>
      <w:r w:rsidR="00B64536">
        <w:t xml:space="preserve">Development </w:t>
      </w:r>
      <w:r w:rsidR="005750A1">
        <w:t>Agenda</w:t>
      </w:r>
      <w:r w:rsidR="00B64536">
        <w:t>.</w:t>
      </w:r>
    </w:p>
    <w:p w:rsidR="002A5EE2" w:rsidRDefault="002A5EE2" w:rsidP="007312F7">
      <w:pPr>
        <w:pStyle w:val="Heading3"/>
        <w:jc w:val="both"/>
      </w:pPr>
      <w:bookmarkStart w:id="97" w:name="_TOC102105"/>
      <w:bookmarkStart w:id="98" w:name="_Toc411525502"/>
      <w:bookmarkEnd w:id="97"/>
      <w:r>
        <w:t xml:space="preserve">Specific </w:t>
      </w:r>
      <w:r w:rsidR="00A67EBA">
        <w:t>R</w:t>
      </w:r>
      <w:r>
        <w:t>ecommendations</w:t>
      </w:r>
      <w:bookmarkEnd w:id="98"/>
    </w:p>
    <w:p w:rsidR="00E95A1B" w:rsidRDefault="00E95A1B" w:rsidP="007312F7">
      <w:pPr>
        <w:jc w:val="both"/>
      </w:pPr>
      <w:bookmarkStart w:id="99" w:name="_TOC102130"/>
      <w:bookmarkEnd w:id="99"/>
      <w:r>
        <w:t>While underpinned by a higher level campaign, more specifically</w:t>
      </w:r>
      <w:r w:rsidR="00B61D65">
        <w:t xml:space="preserve"> </w:t>
      </w:r>
      <w:bookmarkStart w:id="100" w:name="_TOC103577"/>
      <w:bookmarkStart w:id="101" w:name="_TOC105240"/>
      <w:bookmarkStart w:id="102" w:name="_TOC109835"/>
      <w:bookmarkEnd w:id="100"/>
      <w:bookmarkEnd w:id="101"/>
      <w:bookmarkEnd w:id="102"/>
      <w:r w:rsidR="00B61D65">
        <w:t>t</w:t>
      </w:r>
      <w:r>
        <w:t>o further improve maternal and neonatal health, the following have to be considered:</w:t>
      </w:r>
    </w:p>
    <w:p w:rsidR="00B61D65" w:rsidRDefault="00B61D65" w:rsidP="007312F7">
      <w:pPr>
        <w:jc w:val="both"/>
      </w:pPr>
    </w:p>
    <w:p w:rsidR="00E95A1B" w:rsidRDefault="00E95A1B" w:rsidP="007312F7">
      <w:pPr>
        <w:pStyle w:val="ListParagraph"/>
        <w:numPr>
          <w:ilvl w:val="0"/>
          <w:numId w:val="4"/>
        </w:numPr>
        <w:jc w:val="both"/>
      </w:pPr>
      <w:r w:rsidRPr="00EC711F">
        <w:rPr>
          <w:b/>
          <w:i/>
        </w:rPr>
        <w:t>Emphasis on neonatal health and intrapartum care</w:t>
      </w:r>
      <w:r>
        <w:t>: Nearly one third of babies die due to intrapartum causes. Birth asphyxia can be reduced considerably, by ensuring that skilled health workers are trained to deliver neonatal resuscitation. National child health programmes must emphasise early neonatal care as part of their strategy to reduce child mortality.</w:t>
      </w:r>
    </w:p>
    <w:p w:rsidR="00E95A1B" w:rsidRPr="00741917" w:rsidRDefault="00E95A1B" w:rsidP="007312F7">
      <w:pPr>
        <w:pStyle w:val="ListParagraph"/>
        <w:numPr>
          <w:ilvl w:val="0"/>
          <w:numId w:val="4"/>
        </w:numPr>
        <w:jc w:val="both"/>
      </w:pPr>
      <w:r w:rsidRPr="00201C1A">
        <w:rPr>
          <w:b/>
          <w:i/>
        </w:rPr>
        <w:t>Delivery by skilled attendants</w:t>
      </w:r>
      <w:r w:rsidRPr="00817CB4">
        <w:t>:</w:t>
      </w:r>
      <w:r>
        <w:t xml:space="preserve"> Promoting the institutional delivery, and delivery assisted by a skilled health worker is extremely important to reducing maternal and neonatal deaths.  </w:t>
      </w:r>
    </w:p>
    <w:p w:rsidR="00E95A1B" w:rsidRPr="00741917" w:rsidRDefault="00E95A1B" w:rsidP="007312F7">
      <w:pPr>
        <w:pStyle w:val="ListParagraph"/>
        <w:numPr>
          <w:ilvl w:val="0"/>
          <w:numId w:val="4"/>
        </w:numPr>
        <w:jc w:val="both"/>
      </w:pPr>
      <w:r w:rsidRPr="00741917">
        <w:rPr>
          <w:b/>
          <w:i/>
        </w:rPr>
        <w:t>Immunisation programmes</w:t>
      </w:r>
      <w:r>
        <w:t xml:space="preserve">: Vaccinations against common childhood infectious diseases still offers one of the most effective ways of reducing child mortality and morbidity. There should be continued emphasis on promoting the merits of immunisation to increase vaccination coverage. </w:t>
      </w:r>
    </w:p>
    <w:p w:rsidR="00E95A1B" w:rsidRPr="00673C42" w:rsidRDefault="00E95A1B" w:rsidP="007312F7">
      <w:pPr>
        <w:pStyle w:val="ListParagraph"/>
        <w:numPr>
          <w:ilvl w:val="0"/>
          <w:numId w:val="4"/>
        </w:numPr>
        <w:jc w:val="both"/>
        <w:rPr>
          <w:b/>
          <w:i/>
        </w:rPr>
      </w:pPr>
      <w:r w:rsidRPr="00673C42">
        <w:rPr>
          <w:b/>
          <w:i/>
        </w:rPr>
        <w:t>Integrated management of childhood illness</w:t>
      </w:r>
      <w:r>
        <w:t>: Consistent and diligent use of integrated management of childhood illnesses guidelines can avert a large number of deaths due to infectious disease</w:t>
      </w:r>
    </w:p>
    <w:p w:rsidR="00E95A1B" w:rsidRPr="00673C42" w:rsidRDefault="00E95A1B" w:rsidP="007312F7">
      <w:pPr>
        <w:pStyle w:val="ListParagraph"/>
        <w:numPr>
          <w:ilvl w:val="0"/>
          <w:numId w:val="4"/>
        </w:numPr>
        <w:jc w:val="both"/>
        <w:rPr>
          <w:b/>
          <w:i/>
        </w:rPr>
      </w:pPr>
      <w:r w:rsidRPr="00673C42">
        <w:rPr>
          <w:b/>
          <w:i/>
        </w:rPr>
        <w:t xml:space="preserve">Community mobilisation and response: </w:t>
      </w:r>
      <w:r>
        <w:t xml:space="preserve">Communities play a crucial role in maternal and child health. Use of community mobilisation fo support monitoring, promotion and referral to the health system is a key intervention. </w:t>
      </w:r>
    </w:p>
    <w:p w:rsidR="00E95A1B" w:rsidRDefault="00E95A1B" w:rsidP="007312F7">
      <w:pPr>
        <w:pStyle w:val="ListParagraph"/>
        <w:numPr>
          <w:ilvl w:val="0"/>
          <w:numId w:val="4"/>
        </w:numPr>
        <w:jc w:val="both"/>
      </w:pPr>
      <w:r w:rsidRPr="00673C42">
        <w:rPr>
          <w:b/>
          <w:i/>
        </w:rPr>
        <w:t>Emphasise the importance of nutrition</w:t>
      </w:r>
      <w:r>
        <w:t xml:space="preserve">: Nutrition plays a significant role, and is incontrovertibly a major part of maternal and child health. Strong support for nutrition programming will lead to large gains. </w:t>
      </w:r>
    </w:p>
    <w:p w:rsidR="00E95A1B" w:rsidRDefault="00E95A1B" w:rsidP="007312F7">
      <w:pPr>
        <w:pStyle w:val="ListParagraph"/>
        <w:numPr>
          <w:ilvl w:val="0"/>
          <w:numId w:val="4"/>
        </w:numPr>
        <w:jc w:val="both"/>
      </w:pPr>
      <w:r>
        <w:rPr>
          <w:b/>
        </w:rPr>
        <w:t>Renew focus on family planning: F</w:t>
      </w:r>
      <w:r>
        <w:t>amily planning needs to be repositioned as a critical intervention. This should involve ensuring family planning commodity security, availability of several contraceptive choices and improving knowledge and access to family planning.</w:t>
      </w:r>
    </w:p>
    <w:p w:rsidR="00E95A1B" w:rsidRPr="004B1D4F" w:rsidRDefault="00E95A1B" w:rsidP="007312F7">
      <w:pPr>
        <w:pStyle w:val="ListParagraph"/>
        <w:numPr>
          <w:ilvl w:val="0"/>
          <w:numId w:val="4"/>
        </w:numPr>
        <w:jc w:val="both"/>
      </w:pPr>
      <w:r>
        <w:rPr>
          <w:b/>
        </w:rPr>
        <w:t xml:space="preserve">Continued focus on HIV as a significant public health issue: </w:t>
      </w:r>
      <w:r>
        <w:t xml:space="preserve">Several issues have to be considered to halt the transmission of HIV among pregnant women and to their children. Increased focus on reducing loss to followup, improving diagnostics in paediatric HIV, and lifelong antiretroviral therapy for HIV positive pregnant women is required. </w:t>
      </w:r>
      <w:r>
        <w:rPr>
          <w:b/>
        </w:rPr>
        <w:t xml:space="preserve"> </w:t>
      </w:r>
    </w:p>
    <w:p w:rsidR="00E95A1B" w:rsidRDefault="00E95A1B" w:rsidP="007312F7">
      <w:pPr>
        <w:pStyle w:val="ListParagraph"/>
        <w:numPr>
          <w:ilvl w:val="0"/>
          <w:numId w:val="4"/>
        </w:numPr>
        <w:jc w:val="both"/>
      </w:pPr>
      <w:r>
        <w:rPr>
          <w:b/>
        </w:rPr>
        <w:t xml:space="preserve">Adolescents are a key population of focus: </w:t>
      </w:r>
      <w:r>
        <w:t>Adolescents require services that are easily accessible and delivered in a non judgemental manner. Adolescents also need to access sexual and reproductive health information, and integrated into their formal education. Adolescents should be able to access contraceptives and family planning information if they require it.</w:t>
      </w:r>
    </w:p>
    <w:p w:rsidR="00E95A1B" w:rsidRDefault="00E95A1B" w:rsidP="007312F7">
      <w:pPr>
        <w:pStyle w:val="ListParagraph"/>
        <w:numPr>
          <w:ilvl w:val="0"/>
          <w:numId w:val="4"/>
        </w:numPr>
        <w:jc w:val="both"/>
      </w:pPr>
      <w:r>
        <w:rPr>
          <w:b/>
        </w:rPr>
        <w:t>Gender relations and balance:</w:t>
      </w:r>
      <w:r>
        <w:t xml:space="preserve"> Gender has a marked influence on maternal and child health outcomes. To improve MNCH, gender disaggregated data should be collected by national programmes; laws should be enforced that protect women against violence; and there should be increased male involvement in MNCH programmes. There should also be a focus on promotion of women led enterprises.</w:t>
      </w:r>
    </w:p>
    <w:p w:rsidR="00E95A1B" w:rsidRDefault="00E95A1B" w:rsidP="007312F7">
      <w:pPr>
        <w:pStyle w:val="ListParagraph"/>
        <w:numPr>
          <w:ilvl w:val="0"/>
          <w:numId w:val="4"/>
        </w:numPr>
        <w:jc w:val="both"/>
      </w:pPr>
      <w:r>
        <w:rPr>
          <w:b/>
        </w:rPr>
        <w:t>Education:</w:t>
      </w:r>
      <w:r>
        <w:t xml:space="preserve"> Education is a key crosscutting issue that can improve maternal and child health. There should be deliberate policies to ensure attainment of universal education, including post primary education for the girl child. This should include retaining and returning pregnant girls to school.</w:t>
      </w:r>
    </w:p>
    <w:p w:rsidR="002E1F01" w:rsidRDefault="002E1F01" w:rsidP="007312F7">
      <w:pPr>
        <w:jc w:val="both"/>
      </w:pPr>
    </w:p>
    <w:p w:rsidR="00FC3786" w:rsidRDefault="00FC3786" w:rsidP="007312F7">
      <w:pPr>
        <w:jc w:val="both"/>
        <w:rPr>
          <w:rFonts w:ascii="Georgia" w:eastAsiaTheme="majorEastAsia" w:hAnsi="Georgia" w:cstheme="majorBidi"/>
          <w:bCs/>
          <w:color w:val="003865"/>
          <w:sz w:val="26"/>
          <w:szCs w:val="28"/>
        </w:rPr>
      </w:pPr>
      <w:bookmarkStart w:id="103" w:name="_TOC112148"/>
      <w:bookmarkEnd w:id="103"/>
      <w:r>
        <w:br w:type="page"/>
      </w:r>
    </w:p>
    <w:p w:rsidR="004A02D0" w:rsidRDefault="00576EBA" w:rsidP="007312F7">
      <w:pPr>
        <w:pStyle w:val="Heading1"/>
        <w:jc w:val="both"/>
        <w:divId w:val="293105108"/>
      </w:pPr>
      <w:bookmarkStart w:id="104" w:name="_Toc411525503"/>
      <w:r>
        <w:lastRenderedPageBreak/>
        <w:t>Bibliography</w:t>
      </w:r>
      <w:bookmarkEnd w:id="104"/>
    </w:p>
    <w:p w:rsidR="004A02D0" w:rsidRDefault="004A02D0" w:rsidP="007312F7">
      <w:pPr>
        <w:pStyle w:val="NormalWeb"/>
        <w:ind w:left="480" w:hanging="480"/>
        <w:jc w:val="both"/>
        <w:divId w:val="293105108"/>
      </w:pPr>
    </w:p>
    <w:p w:rsidR="009676BD" w:rsidRPr="009676BD" w:rsidRDefault="00373FF7" w:rsidP="007312F7">
      <w:pPr>
        <w:pStyle w:val="NormalWeb"/>
        <w:ind w:left="640" w:hanging="640"/>
        <w:jc w:val="both"/>
        <w:divId w:val="1423641487"/>
        <w:rPr>
          <w:rFonts w:ascii="Verdana" w:hAnsi="Verdana"/>
          <w:noProof/>
          <w:sz w:val="22"/>
        </w:rPr>
      </w:pPr>
      <w:r>
        <w:fldChar w:fldCharType="begin" w:fldLock="1"/>
      </w:r>
      <w:r w:rsidR="004A02D0">
        <w:instrText xml:space="preserve">ADDIN Mendeley Bibliography CSL_BIBLIOGRAPHY </w:instrText>
      </w:r>
      <w:r>
        <w:fldChar w:fldCharType="separate"/>
      </w:r>
      <w:r w:rsidR="009676BD" w:rsidRPr="009676BD">
        <w:rPr>
          <w:rFonts w:ascii="Verdana" w:hAnsi="Verdana"/>
          <w:noProof/>
          <w:sz w:val="22"/>
        </w:rPr>
        <w:t xml:space="preserve">1. </w:t>
      </w:r>
      <w:r w:rsidR="009676BD" w:rsidRPr="009676BD">
        <w:rPr>
          <w:rFonts w:ascii="Verdana" w:hAnsi="Verdana"/>
          <w:noProof/>
          <w:sz w:val="22"/>
        </w:rPr>
        <w:tab/>
        <w:t xml:space="preserve">UNICEF. Levels and Trends in Child Mortality Report 2014. 2014.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 </w:t>
      </w:r>
      <w:r w:rsidRPr="009676BD">
        <w:rPr>
          <w:rFonts w:ascii="Verdana" w:hAnsi="Verdana"/>
          <w:noProof/>
          <w:sz w:val="22"/>
        </w:rPr>
        <w:tab/>
        <w:t xml:space="preserve">UNICEF, World Health Organisation. Fulfilling the Health Agenda for Women and Children The 2014 Report. 2014.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3. </w:t>
      </w:r>
      <w:r w:rsidRPr="009676BD">
        <w:rPr>
          <w:rFonts w:ascii="Verdana" w:hAnsi="Verdana"/>
          <w:noProof/>
          <w:sz w:val="22"/>
        </w:rPr>
        <w:tab/>
        <w:t xml:space="preserve">United Nations Economic Commission for Africa. MDG Report 2013: Assessing Africa’s Progress towards the Millenium Development Goals. 2013.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4. </w:t>
      </w:r>
      <w:r w:rsidRPr="009676BD">
        <w:rPr>
          <w:rFonts w:ascii="Verdana" w:hAnsi="Verdana"/>
          <w:noProof/>
          <w:sz w:val="22"/>
        </w:rPr>
        <w:tab/>
        <w:t xml:space="preserve">United Nations. The Millennium Development Goals Report 2014. 2014.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5. </w:t>
      </w:r>
      <w:r w:rsidRPr="009676BD">
        <w:rPr>
          <w:rFonts w:ascii="Verdana" w:hAnsi="Verdana"/>
          <w:noProof/>
          <w:sz w:val="22"/>
        </w:rPr>
        <w:tab/>
        <w:t xml:space="preserve">World Health Organisation. Abuja Declaration: Ten Years on.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6. </w:t>
      </w:r>
      <w:r w:rsidRPr="009676BD">
        <w:rPr>
          <w:rFonts w:ascii="Verdana" w:hAnsi="Verdana"/>
          <w:noProof/>
          <w:sz w:val="22"/>
        </w:rPr>
        <w:tab/>
        <w:t xml:space="preserve">African Union Commission. AFRICAN REGIONAL NUTRITIONAL STRATEGY 2005 - 2015.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7. </w:t>
      </w:r>
      <w:r w:rsidRPr="009676BD">
        <w:rPr>
          <w:rFonts w:ascii="Verdana" w:hAnsi="Verdana"/>
          <w:noProof/>
          <w:sz w:val="22"/>
        </w:rPr>
        <w:tab/>
        <w:t xml:space="preserve">African Union Commission. The Cost of Hunger in Africa: Social and Economic Impact of Child Undernutrition in Egypt, Ethiopia, Swaziland and Uganda. 2014.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8. </w:t>
      </w:r>
      <w:r w:rsidRPr="009676BD">
        <w:rPr>
          <w:rFonts w:ascii="Verdana" w:hAnsi="Verdana"/>
          <w:noProof/>
          <w:sz w:val="22"/>
        </w:rPr>
        <w:tab/>
        <w:t>Say L, Chou D, Gemmill A, Tunçalp Ö, Moller A-B, Daniels J, et al. Global causes of maternal death: a WHO systematic analysis. Lancet Glob Heal [Internet]. Elsevier; 2014 Jun 6 [cited 2014 Jul 15];2(6):e323–33. Available from: http://www.thelancet.com/article/S2214109X1470227X/fulltext</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9. </w:t>
      </w:r>
      <w:r w:rsidRPr="009676BD">
        <w:rPr>
          <w:rFonts w:ascii="Verdana" w:hAnsi="Verdana"/>
          <w:noProof/>
          <w:sz w:val="22"/>
        </w:rPr>
        <w:tab/>
        <w:t>Khan KS, Wojdyla D, Say L, Gülmezoglu AM, Van Look PFA. WHO analysis of causes of maternal death: a systematic review. Lancet [Internet]. Elsevier; 2006 Apr 1 [cited 2014 Jul 10];367(9516):1066–74. Available from: http://www.thelancet.com/article/S0140673606683979/fulltext</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10. </w:t>
      </w:r>
      <w:r w:rsidRPr="009676BD">
        <w:rPr>
          <w:rFonts w:ascii="Verdana" w:hAnsi="Verdana"/>
          <w:noProof/>
          <w:sz w:val="22"/>
        </w:rPr>
        <w:tab/>
        <w:t>World Bank. Maternal mortality ratio (modeled estimate, per 100,000 live births) | Data | Map [Internet]. [cited 2015 Jan 6]. Available from: http://data.worldbank.org/indicator/SH.STA.MMRT/countries/all?display=map</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11. </w:t>
      </w:r>
      <w:r w:rsidRPr="009676BD">
        <w:rPr>
          <w:rFonts w:ascii="Verdana" w:hAnsi="Verdana"/>
          <w:noProof/>
          <w:sz w:val="22"/>
        </w:rPr>
        <w:tab/>
        <w:t xml:space="preserve">World Health Organisation. WHO antenatal care randomized trial. Manual for the implementation of the new model. 2001.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12. </w:t>
      </w:r>
      <w:r w:rsidRPr="009676BD">
        <w:rPr>
          <w:rFonts w:ascii="Verdana" w:hAnsi="Verdana"/>
          <w:noProof/>
          <w:sz w:val="22"/>
        </w:rPr>
        <w:tab/>
        <w:t xml:space="preserve">Zanconato G, Msolomba R, Guarenti L, Franchi M. Antenatal care in developing countries: The need for a tailored model. Seminars in Fetal and Neonatal Medicine. 2006. p. 15–20.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13. </w:t>
      </w:r>
      <w:r w:rsidRPr="009676BD">
        <w:rPr>
          <w:rFonts w:ascii="Verdana" w:hAnsi="Verdana"/>
          <w:noProof/>
          <w:sz w:val="22"/>
        </w:rPr>
        <w:tab/>
        <w:t xml:space="preserve">Cleland J, Bernstein S, Ezeh A, Faundes A, Glasier A, Innis J. Family planning: the unfinished agenda. Lancet. 2006. p. 1810–27.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14. </w:t>
      </w:r>
      <w:r w:rsidRPr="009676BD">
        <w:rPr>
          <w:rFonts w:ascii="Verdana" w:hAnsi="Verdana"/>
          <w:noProof/>
          <w:sz w:val="22"/>
        </w:rPr>
        <w:tab/>
        <w:t xml:space="preserve">UNAIDS. 2014 Progress Report on the global plan towards the elimination of new HIV infections among children by 2015 and keeping their mothers alive. 2014;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lastRenderedPageBreak/>
        <w:t xml:space="preserve">15. </w:t>
      </w:r>
      <w:r w:rsidRPr="009676BD">
        <w:rPr>
          <w:rFonts w:ascii="Verdana" w:hAnsi="Verdana"/>
          <w:noProof/>
          <w:sz w:val="22"/>
        </w:rPr>
        <w:tab/>
        <w:t>Nove A, Matthews Z, Neal S, Camacho AV. Maternal mortality in adolescents compared with women of other ages: evidence from 144 countries. Lancet Glob Heal [Internet]. Elsevier; 2014 Mar 3 [cited 2015 Jan 3];2(3):e155–64. Available from: http://www.thelancet.com/article/S2214109X13701797/fulltext</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16. </w:t>
      </w:r>
      <w:r w:rsidRPr="009676BD">
        <w:rPr>
          <w:rFonts w:ascii="Verdana" w:hAnsi="Verdana"/>
          <w:noProof/>
          <w:sz w:val="22"/>
        </w:rPr>
        <w:tab/>
        <w:t xml:space="preserve">UNAIDS. The gap report. 2014;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17. </w:t>
      </w:r>
      <w:r w:rsidRPr="009676BD">
        <w:rPr>
          <w:rFonts w:ascii="Verdana" w:hAnsi="Verdana"/>
          <w:noProof/>
          <w:sz w:val="22"/>
        </w:rPr>
        <w:tab/>
        <w:t xml:space="preserve">UNFPA. Pregnant Adolescents. 2006.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18. </w:t>
      </w:r>
      <w:r w:rsidRPr="009676BD">
        <w:rPr>
          <w:rFonts w:ascii="Verdana" w:hAnsi="Verdana"/>
          <w:noProof/>
          <w:sz w:val="22"/>
        </w:rPr>
        <w:tab/>
        <w:t xml:space="preserve">African Union Commission. Documenting Good Practices in Maternal , New Born and Child Health ( MNCH ) Interventions. 2013.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19. </w:t>
      </w:r>
      <w:r w:rsidRPr="009676BD">
        <w:rPr>
          <w:rFonts w:ascii="Verdana" w:hAnsi="Verdana"/>
          <w:noProof/>
          <w:sz w:val="22"/>
        </w:rPr>
        <w:tab/>
        <w:t xml:space="preserve">UNFPA. Investing in Midwives and Others with Midwifery Skills. 2008.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20. </w:t>
      </w:r>
      <w:r w:rsidRPr="009676BD">
        <w:rPr>
          <w:rFonts w:ascii="Verdana" w:hAnsi="Verdana"/>
          <w:noProof/>
          <w:sz w:val="22"/>
        </w:rPr>
        <w:tab/>
        <w:t xml:space="preserve">UNFPA. The State of the World’s Midwifery 2014. 2014.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21. </w:t>
      </w:r>
      <w:r w:rsidRPr="009676BD">
        <w:rPr>
          <w:rFonts w:ascii="Verdana" w:hAnsi="Verdana"/>
          <w:noProof/>
          <w:sz w:val="22"/>
        </w:rPr>
        <w:tab/>
        <w:t xml:space="preserve">World Health Organisation. Unsafe abortion: Global and regional estimates of the incidence of unsafe abortion and associated mortality in 2008. 2008.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22. </w:t>
      </w:r>
      <w:r w:rsidRPr="009676BD">
        <w:rPr>
          <w:rFonts w:ascii="Verdana" w:hAnsi="Verdana"/>
          <w:noProof/>
          <w:sz w:val="22"/>
        </w:rPr>
        <w:tab/>
        <w:t xml:space="preserve">Henshaw S, Adewole I, Singh S, Bankole A, Oye-Adeniran B, Hussain R. Severity and Cost of Unsafe Abortion Complications Treated in Nigerian Hospitals. Int Fam Plan Perspect. 2008;34(1).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23. </w:t>
      </w:r>
      <w:r w:rsidRPr="009676BD">
        <w:rPr>
          <w:rFonts w:ascii="Verdana" w:hAnsi="Verdana"/>
          <w:noProof/>
          <w:sz w:val="22"/>
        </w:rPr>
        <w:tab/>
        <w:t>Cohen S. Facts and Consequences: Legality, Incidence and Safety of Abortion Worldwide. Guttmacher Policy Rev [Internet]. 2009 [cited 2015 Jan 4];12(4). Available from: https://www.guttmacher.org/pubs/gpr/12/4/gpr120402.html</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24. </w:t>
      </w:r>
      <w:r w:rsidRPr="009676BD">
        <w:rPr>
          <w:rFonts w:ascii="Verdana" w:hAnsi="Verdana"/>
          <w:noProof/>
          <w:sz w:val="22"/>
        </w:rPr>
        <w:tab/>
        <w:t>H</w:t>
      </w:r>
      <w:r w:rsidRPr="009676BD">
        <w:rPr>
          <w:rFonts w:ascii="Cambria Math" w:hAnsi="Cambria Math" w:cs="Cambria Math"/>
          <w:noProof/>
          <w:sz w:val="22"/>
        </w:rPr>
        <w:t>⊘</w:t>
      </w:r>
      <w:r w:rsidRPr="009676BD">
        <w:rPr>
          <w:rFonts w:ascii="Verdana" w:hAnsi="Verdana"/>
          <w:noProof/>
          <w:sz w:val="22"/>
        </w:rPr>
        <w:t>j L, Cardoso P, Nielsen BB, Hvidman L, Nielsen J, Aaby P. Effect of sublingual misoprostol on severe postpartum haemorrhage in a primary health centre in Guinea-Bissau: randomised double blind clinical trial. BMJ [Internet]. 2005 Sep 29;331(7519):723. Available from: http://www.bmj.com/content/331/7519/723.abstract</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25. </w:t>
      </w:r>
      <w:r w:rsidRPr="009676BD">
        <w:rPr>
          <w:rFonts w:ascii="Verdana" w:hAnsi="Verdana"/>
          <w:noProof/>
          <w:sz w:val="22"/>
        </w:rPr>
        <w:tab/>
        <w:t>Derman RJ, Kodkany BS, Goudar SS, Geller SE, Naik VA, Bellad MB, et al. Oral misoprostol in preventing postpartum haemorrhage in resource-poor communities: a randomised controlled trial. Lancet [Internet]. Elsevier; 2006 Jan 3;368(9543):1248–53. Available from: http://www.thelancet.com/journals/lancet/article/PIIS0140-6736(06)69522-6/abstract</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26. </w:t>
      </w:r>
      <w:r w:rsidRPr="009676BD">
        <w:rPr>
          <w:rFonts w:ascii="Verdana" w:hAnsi="Verdana"/>
          <w:noProof/>
          <w:sz w:val="22"/>
        </w:rPr>
        <w:tab/>
        <w:t xml:space="preserve">African Union Commission. Assessment of Maternal Death Audit Systems in Africa Level of Implementation &amp; Gaps in. 2013.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27. </w:t>
      </w:r>
      <w:r w:rsidRPr="009676BD">
        <w:rPr>
          <w:rFonts w:ascii="Verdana" w:hAnsi="Verdana"/>
          <w:noProof/>
          <w:sz w:val="22"/>
        </w:rPr>
        <w:tab/>
        <w:t xml:space="preserve">Plotkin SL, Plotkin SA. A short history of vaccination. In: Plotkin S., Orenstein WA, editors. Vaccines. 2004. p. 1–15.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28. </w:t>
      </w:r>
      <w:r w:rsidRPr="009676BD">
        <w:rPr>
          <w:rFonts w:ascii="Verdana" w:hAnsi="Verdana"/>
          <w:noProof/>
          <w:sz w:val="22"/>
        </w:rPr>
        <w:tab/>
        <w:t xml:space="preserve">Brenzel L, Wolfson LJ, Fox-Rushby J, Miller M, Halsey NA. Vaccine-Preventable Disease. In: Measham AR, Alleyne G, Claeson M, Evans DB, editors. Disease Control Priorities in Developing Countries. Oxford University Press; 2006. p. 389–412.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29. </w:t>
      </w:r>
      <w:r w:rsidRPr="009676BD">
        <w:rPr>
          <w:rFonts w:ascii="Verdana" w:hAnsi="Verdana"/>
          <w:noProof/>
          <w:sz w:val="22"/>
        </w:rPr>
        <w:tab/>
        <w:t xml:space="preserve">African Union Commission. AFRICAN UNION AGENDA 2063. 2013 p. 1–21. </w:t>
      </w:r>
    </w:p>
    <w:p w:rsidR="009676BD" w:rsidRPr="009676BD" w:rsidRDefault="009676BD" w:rsidP="007312F7">
      <w:pPr>
        <w:pStyle w:val="NormalWeb"/>
        <w:ind w:left="640" w:hanging="640"/>
        <w:jc w:val="both"/>
        <w:divId w:val="1423641487"/>
        <w:rPr>
          <w:rFonts w:ascii="Verdana" w:hAnsi="Verdana"/>
          <w:noProof/>
          <w:sz w:val="22"/>
        </w:rPr>
      </w:pPr>
      <w:r w:rsidRPr="009676BD">
        <w:rPr>
          <w:rFonts w:ascii="Verdana" w:hAnsi="Verdana"/>
          <w:noProof/>
          <w:sz w:val="22"/>
        </w:rPr>
        <w:t xml:space="preserve">30. </w:t>
      </w:r>
      <w:r w:rsidRPr="009676BD">
        <w:rPr>
          <w:rFonts w:ascii="Verdana" w:hAnsi="Verdana"/>
          <w:noProof/>
          <w:sz w:val="22"/>
        </w:rPr>
        <w:tab/>
        <w:t xml:space="preserve">African Union. COMMON AFRICAN POSITION ( CAP ) ON THE POST- 2015 DEVELOPMENT AGENDA. 2014 p. 1–20. </w:t>
      </w:r>
    </w:p>
    <w:p w:rsidR="00616441" w:rsidRDefault="00373FF7" w:rsidP="007312F7">
      <w:pPr>
        <w:pStyle w:val="NormalWeb"/>
        <w:ind w:left="640" w:hanging="640"/>
        <w:jc w:val="both"/>
        <w:divId w:val="225801709"/>
      </w:pPr>
      <w:r>
        <w:lastRenderedPageBreak/>
        <w:fldChar w:fldCharType="end"/>
      </w:r>
    </w:p>
    <w:p w:rsidR="00BA0F58" w:rsidRDefault="00BA0F58" w:rsidP="007312F7">
      <w:pPr>
        <w:jc w:val="both"/>
      </w:pPr>
    </w:p>
    <w:p w:rsidR="007876A6" w:rsidRPr="007876A6" w:rsidRDefault="007876A6" w:rsidP="007312F7">
      <w:pPr>
        <w:jc w:val="both"/>
      </w:pPr>
    </w:p>
    <w:p w:rsidR="007A071C" w:rsidRDefault="007A071C" w:rsidP="007312F7">
      <w:pPr>
        <w:jc w:val="both"/>
      </w:pPr>
    </w:p>
    <w:p w:rsidR="007A071C" w:rsidRPr="0062573C" w:rsidRDefault="007A071C" w:rsidP="007312F7">
      <w:pPr>
        <w:jc w:val="both"/>
      </w:pPr>
    </w:p>
    <w:p w:rsidR="00CE6641" w:rsidRDefault="00CE6641" w:rsidP="007312F7">
      <w:pPr>
        <w:jc w:val="both"/>
      </w:pPr>
    </w:p>
    <w:p w:rsidR="003C3374" w:rsidRDefault="003C3374" w:rsidP="007312F7">
      <w:pPr>
        <w:jc w:val="both"/>
      </w:pPr>
    </w:p>
    <w:p w:rsidR="00816CC7" w:rsidRDefault="00816CC7" w:rsidP="007312F7">
      <w:pPr>
        <w:jc w:val="both"/>
      </w:pPr>
      <w:r>
        <w:br w:type="page"/>
      </w:r>
    </w:p>
    <w:p w:rsidR="00816CC7" w:rsidRDefault="00816CC7" w:rsidP="007312F7">
      <w:pPr>
        <w:pStyle w:val="Heading1"/>
        <w:jc w:val="both"/>
      </w:pPr>
      <w:bookmarkStart w:id="105" w:name="_Toc411525504"/>
      <w:r>
        <w:lastRenderedPageBreak/>
        <w:t>Appendices</w:t>
      </w:r>
      <w:bookmarkEnd w:id="105"/>
    </w:p>
    <w:p w:rsidR="00816CC7" w:rsidRDefault="00816CC7" w:rsidP="007312F7">
      <w:pPr>
        <w:jc w:val="both"/>
        <w:rPr>
          <w:rFonts w:ascii="Georgia" w:eastAsiaTheme="majorEastAsia" w:hAnsi="Georgia" w:cstheme="majorBidi"/>
          <w:bCs/>
          <w:color w:val="003865"/>
          <w:sz w:val="26"/>
          <w:szCs w:val="28"/>
        </w:rPr>
      </w:pPr>
      <w:r>
        <w:br w:type="page"/>
      </w:r>
    </w:p>
    <w:p w:rsidR="003C3374" w:rsidRDefault="00816CC7" w:rsidP="007312F7">
      <w:pPr>
        <w:pStyle w:val="Heading1"/>
        <w:jc w:val="both"/>
      </w:pPr>
      <w:bookmarkStart w:id="106" w:name="_Toc411525505"/>
      <w:r>
        <w:lastRenderedPageBreak/>
        <w:t>Appendix 1: All Country MNCH Score Sheet</w:t>
      </w:r>
      <w:bookmarkEnd w:id="106"/>
    </w:p>
    <w:p w:rsidR="00816CC7" w:rsidRDefault="00816CC7" w:rsidP="007312F7">
      <w:pPr>
        <w:jc w:val="both"/>
      </w:pPr>
    </w:p>
    <w:p w:rsidR="00816CC7" w:rsidRDefault="00816CC7" w:rsidP="007312F7">
      <w:pPr>
        <w:jc w:val="both"/>
        <w:sectPr w:rsidR="00816CC7" w:rsidSect="008E028A">
          <w:headerReference w:type="default" r:id="rId18"/>
          <w:footerReference w:type="default" r:id="rId19"/>
          <w:pgSz w:w="11906" w:h="16838"/>
          <w:pgMar w:top="680" w:right="1418" w:bottom="680" w:left="1418" w:header="709" w:footer="709" w:gutter="0"/>
          <w:pgNumType w:start="0"/>
          <w:cols w:space="708"/>
          <w:titlePg/>
          <w:docGrid w:linePitch="360"/>
        </w:sectPr>
      </w:pPr>
    </w:p>
    <w:p w:rsidR="00816CC7" w:rsidRDefault="00816CC7" w:rsidP="007312F7">
      <w:pPr>
        <w:jc w:val="both"/>
        <w:rPr>
          <w:b/>
          <w:sz w:val="24"/>
          <w:szCs w:val="24"/>
        </w:rPr>
      </w:pPr>
      <w:r w:rsidRPr="00B52E84">
        <w:rPr>
          <w:b/>
          <w:sz w:val="24"/>
          <w:szCs w:val="24"/>
        </w:rPr>
        <w:lastRenderedPageBreak/>
        <w:t>All Country Scorecard 2014</w:t>
      </w:r>
    </w:p>
    <w:p w:rsidR="00816CC7" w:rsidRPr="00B52E84" w:rsidRDefault="00816CC7" w:rsidP="007312F7">
      <w:pPr>
        <w:jc w:val="both"/>
        <w:rPr>
          <w:sz w:val="16"/>
          <w:szCs w:val="16"/>
        </w:rPr>
      </w:pPr>
      <w:r>
        <w:rPr>
          <w:sz w:val="16"/>
          <w:szCs w:val="16"/>
        </w:rPr>
        <w:t>Assume all figures are from 2013, unless where stated in brackets</w:t>
      </w:r>
    </w:p>
    <w:tbl>
      <w:tblPr>
        <w:tblW w:w="5000" w:type="pct"/>
        <w:tblBorders>
          <w:top w:val="single" w:sz="4" w:space="0" w:color="3333FF"/>
          <w:left w:val="single" w:sz="4" w:space="0" w:color="3333FF"/>
          <w:bottom w:val="single" w:sz="4" w:space="0" w:color="3333FF"/>
          <w:right w:val="single" w:sz="4" w:space="0" w:color="3333FF"/>
          <w:insideH w:val="single" w:sz="4" w:space="0" w:color="3333FF"/>
          <w:insideV w:val="single" w:sz="4" w:space="0" w:color="3333FF"/>
        </w:tblBorders>
        <w:tblLayout w:type="fixed"/>
        <w:tblLook w:val="04A0" w:firstRow="1" w:lastRow="0" w:firstColumn="1" w:lastColumn="0" w:noHBand="0" w:noVBand="1"/>
      </w:tblPr>
      <w:tblGrid>
        <w:gridCol w:w="2518"/>
        <w:gridCol w:w="1796"/>
        <w:gridCol w:w="1428"/>
        <w:gridCol w:w="967"/>
        <w:gridCol w:w="1180"/>
        <w:gridCol w:w="1328"/>
        <w:gridCol w:w="1180"/>
        <w:gridCol w:w="1186"/>
        <w:gridCol w:w="1425"/>
        <w:gridCol w:w="1321"/>
        <w:gridCol w:w="1365"/>
      </w:tblGrid>
      <w:tr w:rsidR="00816CC7" w:rsidRPr="00B52E84" w:rsidTr="007312F7">
        <w:trPr>
          <w:trHeight w:val="2700"/>
        </w:trPr>
        <w:tc>
          <w:tcPr>
            <w:tcW w:w="802" w:type="pct"/>
            <w:shd w:val="clear" w:color="auto" w:fill="auto"/>
            <w:noWrap/>
            <w:vAlign w:val="bottom"/>
            <w:hideMark/>
          </w:tcPr>
          <w:p w:rsidR="00816CC7" w:rsidRDefault="00816CC7" w:rsidP="007312F7">
            <w:pPr>
              <w:jc w:val="both"/>
              <w:rPr>
                <w:rFonts w:ascii="Calibri" w:eastAsia="Times New Roman" w:hAnsi="Calibri" w:cs="Times New Roman"/>
                <w:color w:val="000000"/>
                <w:lang w:eastAsia="en-GB"/>
              </w:rPr>
            </w:pPr>
          </w:p>
          <w:p w:rsidR="00816CC7" w:rsidRPr="00B52E84" w:rsidRDefault="00816CC7" w:rsidP="007312F7">
            <w:pPr>
              <w:jc w:val="both"/>
              <w:rPr>
                <w:rFonts w:ascii="Calibri" w:eastAsia="Times New Roman" w:hAnsi="Calibri" w:cs="Times New Roman"/>
                <w:color w:val="000000"/>
                <w:lang w:eastAsia="en-GB"/>
              </w:rPr>
            </w:pPr>
          </w:p>
        </w:tc>
        <w:tc>
          <w:tcPr>
            <w:tcW w:w="572"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Proportion of stunting under 5 years</w:t>
            </w:r>
          </w:p>
        </w:tc>
        <w:tc>
          <w:tcPr>
            <w:tcW w:w="455"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Contraceptive Prevalence Rate</w:t>
            </w:r>
          </w:p>
        </w:tc>
        <w:tc>
          <w:tcPr>
            <w:tcW w:w="308"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Unmet Need for Family Planning</w:t>
            </w:r>
          </w:p>
        </w:tc>
        <w:tc>
          <w:tcPr>
            <w:tcW w:w="376"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Adolescent Fertility Rate</w:t>
            </w:r>
          </w:p>
        </w:tc>
        <w:tc>
          <w:tcPr>
            <w:tcW w:w="423"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Proportion of births attended by skilled health personnel</w:t>
            </w:r>
          </w:p>
        </w:tc>
        <w:tc>
          <w:tcPr>
            <w:tcW w:w="376"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Proportion of infants 12 – 23 months immunised against DPT3</w:t>
            </w:r>
          </w:p>
        </w:tc>
        <w:tc>
          <w:tcPr>
            <w:tcW w:w="378"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Percentage of the allocation on Budget line for RMNH expended</w:t>
            </w:r>
          </w:p>
        </w:tc>
        <w:tc>
          <w:tcPr>
            <w:tcW w:w="454"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Number of facilities per 500,000 providing basic and comprehensive emergency obstetric care</w:t>
            </w:r>
          </w:p>
        </w:tc>
        <w:tc>
          <w:tcPr>
            <w:tcW w:w="421"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Proportion of districts that have an established and functional MDSR system</w:t>
            </w:r>
          </w:p>
        </w:tc>
        <w:tc>
          <w:tcPr>
            <w:tcW w:w="435" w:type="pct"/>
            <w:shd w:val="clear" w:color="auto" w:fill="auto"/>
            <w:vAlign w:val="bottom"/>
            <w:hideMark/>
          </w:tcPr>
          <w:p w:rsidR="00816CC7" w:rsidRPr="00B52E84" w:rsidRDefault="00816CC7" w:rsidP="007312F7">
            <w:pPr>
              <w:jc w:val="both"/>
              <w:rPr>
                <w:rFonts w:ascii="Calibri" w:eastAsia="Times New Roman" w:hAnsi="Calibri" w:cs="Times New Roman"/>
                <w:b/>
                <w:bCs/>
                <w:color w:val="000000"/>
                <w:lang w:eastAsia="en-GB"/>
              </w:rPr>
            </w:pPr>
            <w:r w:rsidRPr="00B52E84">
              <w:rPr>
                <w:rFonts w:ascii="Calibri" w:eastAsia="Times New Roman" w:hAnsi="Calibri" w:cs="Times New Roman"/>
                <w:b/>
                <w:bCs/>
                <w:color w:val="000000"/>
                <w:lang w:eastAsia="en-GB"/>
              </w:rPr>
              <w:t>Percentage of HIV-positive pregnant women who received antiretroviral medicine to reduce the risk of mother-to-child transmission</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Algeria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16 (2005)</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63.9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95.2% (2006)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95%</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Angola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29.2 (2007)</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15.2</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28.8</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146</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47 (2007)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93%</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25% (2006)</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39%</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Benin</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44.7 (2006)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21.6</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28.1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96</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84.1 (2012)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34% (2011)</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Botswana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31.4 (2008)</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55.1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17.5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96%</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 (2008)</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&gt;95%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Burkina Faso</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35.1 (2010)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117</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65.9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16% (2011)</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62%</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Burundi</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57.5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25.6</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28.4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21</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72.9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96%</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75%</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58%</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Cameroon</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32.6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27.8</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114</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63.6 (2011)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60% (2010)</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61%</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Cape Verde</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21.4 (1994)</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63.6</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68</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77.5 (2005)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93%</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&gt;95%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Central African Rep</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45.1 (2006)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22.3</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53.8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23%</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Chad</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44.8 (2004)</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136</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22.7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20% (2011)</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Comoros</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46.9 (2000)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43.5</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25.9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82 (2012)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83%</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Congo</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31.2 (2005)</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46.7</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94 (2012)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25% (2010)</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Côte d’Ivoire</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39 (2007)</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20</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30.1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103</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59.4 (2012)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82%</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 (2010)</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 xml:space="preserve">Democratic Republic of </w:t>
            </w:r>
            <w:r w:rsidRPr="00B52E84">
              <w:rPr>
                <w:rFonts w:ascii="Calibri" w:eastAsia="Times New Roman" w:hAnsi="Calibri" w:cs="Times New Roman"/>
                <w:color w:val="000000"/>
                <w:lang w:eastAsia="en-GB"/>
              </w:rPr>
              <w:lastRenderedPageBreak/>
              <w:t>Congo</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lastRenderedPageBreak/>
              <w:t>43.5 (2010)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21.9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27.7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168</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80.4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72%</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lastRenderedPageBreak/>
              <w:t>Djibouti</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33.5 (2012)</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28.8</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28.6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92.9 (2006)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97%</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000000" w:fill="FFFFFF"/>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 (2004)</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36%</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Egypt</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30.7 (2008)</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62.7</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40</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78.9 (2008)</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Equatorial Guinea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35 (2004)</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27.9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114</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64.6 (2000)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94%</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 xml:space="preserve">Eritrea </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43.7 (2002)</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18.4</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28.3 (2002)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72%</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38%</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Ethiopia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44.2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32.4</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26.5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46</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25%</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Gabon</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17.5 (2012)</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40.9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24.5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80</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85.5 (2000)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97%</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62%</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Gambia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27.6 (2006)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23</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30.7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66</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 xml:space="preserve"> 56.6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90%</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 (2012)</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84%</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Ghana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28.6 (2008)</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26.3</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34.4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68.4 (2011)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63%</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37% (2011)</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62%</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Guinea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35.8 (2012)</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25.3</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131</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45 (2012)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80%</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42%</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46%</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Guinea-Bissau</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27.7 (2008)</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15.7</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30.3</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95</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56%</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Kenya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35.2 (2009)</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50.7</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43.8 (2009)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76%</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Lesotho</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39 (2010)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21.6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60</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61.5 (2009)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96%</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 (2004)</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Liberia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39.4 (2007)</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14.8</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34.4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121</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46.3 (2007)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27% (2011)</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69%</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Libya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21 (2007)</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57.8</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15.4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99.8 (2008)</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Madagascar</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49.2 (2009)</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44</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43.9 (2009)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74%</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 (2011)</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Malawi</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47.8 (2010)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49.1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24.2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104</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71.4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32% (2010)</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79%</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Mali</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38.5 (2006)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167</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49 (2006)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74%</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Mauritania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 (2012)</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14.6</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31.9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71</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60.9 (2007)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80%</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31% (2005)</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000000" w:fill="FFFFFF"/>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Mauritius</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13.6 (1994)</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76</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31</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98.4 (2003)</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Mozambique</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43.1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15.2</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24.5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54.3 (2011)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84%</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Namibia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29.6 (2007)</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57.8</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17.6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81.4 (2007)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90%</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Niger</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43 (2012)</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14.3</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20.2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17.7 (2006)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70%</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 (2010)</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Nigeria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15</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111</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38</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27%</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Rwanda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44.3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52.3</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19.5</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35</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69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000000" w:fill="FFFFFF"/>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Sahrawi Arab Democratic Republic</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Sao Tome and Principe</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31.6 (2009)</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40.2</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54</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81.7 (2009)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97%</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42%</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Senegal</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19</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14.6</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33.2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88</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65.1 (2011)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92%</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38% (2000)</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62%</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lastRenderedPageBreak/>
              <w:t>Seychelles</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60 (2009)</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99 (2011)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Sierra Leone</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45 (2010)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30.2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100</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62.5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92%</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24% (2008)</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Somalia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42.1 (2006)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22.8</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68</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33 (2006)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42%</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56% (2005)</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South Africa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23.9 (2008)</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64.7</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91.2 (2003)</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65%</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90%</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South Sudan</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36.2 (2006)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6.7</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95 (2009)</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45%</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24%</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16%</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Sudan</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38.3 (2006)</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14.3</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21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93%</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35% (2005)</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Swaziland</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31 (2010)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64.1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15.4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66</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82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&gt;95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Tanzania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34.8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38.4</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44 (2010)</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51 (2010)</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91%</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w:t>
            </w: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Togo</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29.8 (2010)</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20</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36.1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85</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59.4</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84%</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Tunisia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 (2012)</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65.1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11.8</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94.6 (2006)</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75%</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Uganda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33.7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32.9</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33.2</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124</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57.4 (2011)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78%</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73%</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Zambia</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45.8 (2007)</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47.1</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23</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138</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47 (2007)</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79%</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60% (2009)</w:t>
            </w: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100%</w:t>
            </w: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76%</w:t>
            </w:r>
          </w:p>
        </w:tc>
      </w:tr>
      <w:tr w:rsidR="00816CC7" w:rsidRPr="00B52E84" w:rsidTr="007312F7">
        <w:trPr>
          <w:trHeight w:val="300"/>
        </w:trPr>
        <w:tc>
          <w:tcPr>
            <w:tcW w:w="80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Zimbabwe</w:t>
            </w:r>
          </w:p>
        </w:tc>
        <w:tc>
          <w:tcPr>
            <w:tcW w:w="572"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32.3 (2011)</w:t>
            </w:r>
          </w:p>
        </w:tc>
        <w:tc>
          <w:tcPr>
            <w:tcW w:w="45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60.6</w:t>
            </w:r>
          </w:p>
        </w:tc>
        <w:tc>
          <w:tcPr>
            <w:tcW w:w="30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14.9</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52</w:t>
            </w:r>
          </w:p>
        </w:tc>
        <w:tc>
          <w:tcPr>
            <w:tcW w:w="423"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66.2 (2011)</w:t>
            </w:r>
          </w:p>
        </w:tc>
        <w:tc>
          <w:tcPr>
            <w:tcW w:w="376"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95%</w:t>
            </w:r>
          </w:p>
        </w:tc>
        <w:tc>
          <w:tcPr>
            <w:tcW w:w="378"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0.1</w:t>
            </w:r>
          </w:p>
        </w:tc>
        <w:tc>
          <w:tcPr>
            <w:tcW w:w="454"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21"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p>
        </w:tc>
        <w:tc>
          <w:tcPr>
            <w:tcW w:w="435" w:type="pct"/>
            <w:shd w:val="clear" w:color="auto" w:fill="auto"/>
            <w:noWrap/>
            <w:vAlign w:val="bottom"/>
            <w:hideMark/>
          </w:tcPr>
          <w:p w:rsidR="00816CC7" w:rsidRPr="00B52E84" w:rsidRDefault="00816CC7" w:rsidP="007312F7">
            <w:pPr>
              <w:jc w:val="both"/>
              <w:rPr>
                <w:rFonts w:ascii="Calibri" w:eastAsia="Times New Roman" w:hAnsi="Calibri" w:cs="Times New Roman"/>
                <w:color w:val="000000"/>
                <w:lang w:eastAsia="en-GB"/>
              </w:rPr>
            </w:pPr>
            <w:r w:rsidRPr="00B52E84">
              <w:rPr>
                <w:rFonts w:ascii="Calibri" w:eastAsia="Times New Roman" w:hAnsi="Calibri" w:cs="Times New Roman"/>
                <w:color w:val="000000"/>
                <w:lang w:eastAsia="en-GB"/>
              </w:rPr>
              <w:t>78%</w:t>
            </w:r>
          </w:p>
        </w:tc>
      </w:tr>
    </w:tbl>
    <w:p w:rsidR="00816CC7" w:rsidRDefault="00816CC7" w:rsidP="007312F7">
      <w:pPr>
        <w:jc w:val="both"/>
      </w:pPr>
    </w:p>
    <w:p w:rsidR="00816CC7" w:rsidRDefault="00816CC7" w:rsidP="007312F7">
      <w:pPr>
        <w:jc w:val="both"/>
      </w:pPr>
      <w:r>
        <w:br w:type="page"/>
      </w:r>
    </w:p>
    <w:p w:rsidR="00816CC7" w:rsidRPr="00E728F6" w:rsidRDefault="00816CC7" w:rsidP="007312F7">
      <w:pPr>
        <w:jc w:val="both"/>
      </w:pPr>
    </w:p>
    <w:sectPr w:rsidR="00816CC7" w:rsidRPr="00E728F6" w:rsidSect="007312F7">
      <w:pgSz w:w="16838" w:h="11906" w:orient="landscape"/>
      <w:pgMar w:top="1418" w:right="680" w:bottom="1418" w:left="68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A32" w:rsidRDefault="00A30A32" w:rsidP="003D305C">
      <w:r>
        <w:separator/>
      </w:r>
    </w:p>
  </w:endnote>
  <w:endnote w:type="continuationSeparator" w:id="0">
    <w:p w:rsidR="00A30A32" w:rsidRDefault="00A30A32" w:rsidP="003D305C">
      <w:r>
        <w:continuationSeparator/>
      </w:r>
    </w:p>
  </w:endnote>
  <w:endnote w:type="continuationNotice" w:id="1">
    <w:p w:rsidR="00A30A32" w:rsidRDefault="00A30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ヒラギノ角ゴ Pro W3">
    <w:altName w:val="MS Mincho"/>
    <w:charset w:val="80"/>
    <w:family w:val="auto"/>
    <w:pitch w:val="variable"/>
    <w:sig w:usb0="00000000" w:usb1="00000000" w:usb2="01000407" w:usb3="00000000" w:csb0="00020000"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47 Cn Lt">
    <w:altName w:val="Univers LT Std 47 Cn L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Bold">
    <w:panose1 w:val="020B080403050404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298135"/>
      <w:docPartObj>
        <w:docPartGallery w:val="Page Numbers (Bottom of Page)"/>
        <w:docPartUnique/>
      </w:docPartObj>
    </w:sdtPr>
    <w:sdtEndPr>
      <w:rPr>
        <w:noProof/>
      </w:rPr>
    </w:sdtEndPr>
    <w:sdtContent>
      <w:p w:rsidR="007312F7" w:rsidRDefault="007312F7">
        <w:pPr>
          <w:pStyle w:val="Footer"/>
          <w:jc w:val="right"/>
        </w:pPr>
        <w:r>
          <w:fldChar w:fldCharType="begin"/>
        </w:r>
        <w:r>
          <w:instrText xml:space="preserve"> PAGE   \* MERGEFORMAT </w:instrText>
        </w:r>
        <w:r>
          <w:fldChar w:fldCharType="separate"/>
        </w:r>
        <w:r w:rsidR="00ED77B8">
          <w:rPr>
            <w:noProof/>
          </w:rPr>
          <w:t>1</w:t>
        </w:r>
        <w:r>
          <w:rPr>
            <w:noProof/>
          </w:rPr>
          <w:fldChar w:fldCharType="end"/>
        </w:r>
      </w:p>
    </w:sdtContent>
  </w:sdt>
  <w:p w:rsidR="007312F7" w:rsidRPr="00E338C7" w:rsidRDefault="007312F7" w:rsidP="008B0611">
    <w:pPr>
      <w:pStyle w:val="Footer"/>
      <w:jc w:val="center"/>
      <w:rPr>
        <w:rFonts w:ascii="Calibri" w:hAnsi="Calibri"/>
        <w:sz w:val="16"/>
      </w:rPr>
    </w:pPr>
    <w:r>
      <w:rPr>
        <w:rFonts w:ascii="Calibri" w:hAnsi="Calibri"/>
        <w:sz w:val="16"/>
      </w:rPr>
      <w:t>MNCH Status Report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A32" w:rsidRDefault="00A30A32" w:rsidP="003D305C">
      <w:r>
        <w:separator/>
      </w:r>
    </w:p>
  </w:footnote>
  <w:footnote w:type="continuationSeparator" w:id="0">
    <w:p w:rsidR="00A30A32" w:rsidRDefault="00A30A32" w:rsidP="003D305C">
      <w:r>
        <w:continuationSeparator/>
      </w:r>
    </w:p>
  </w:footnote>
  <w:footnote w:type="continuationNotice" w:id="1">
    <w:p w:rsidR="00A30A32" w:rsidRDefault="00A30A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28465"/>
      <w:docPartObj>
        <w:docPartGallery w:val="Watermarks"/>
        <w:docPartUnique/>
      </w:docPartObj>
    </w:sdtPr>
    <w:sdtEndPr/>
    <w:sdtContent>
      <w:p w:rsidR="007312F7" w:rsidRPr="00E338C7" w:rsidRDefault="00A30A32" w:rsidP="00201C1A">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
    <w:nsid w:val="00000002"/>
    <w:multiLevelType w:val="multilevel"/>
    <w:tmpl w:val="894EE874"/>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2">
    <w:nsid w:val="00000003"/>
    <w:multiLevelType w:val="multilevel"/>
    <w:tmpl w:val="894EE875"/>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3">
    <w:nsid w:val="00000004"/>
    <w:multiLevelType w:val="multilevel"/>
    <w:tmpl w:val="894EE876"/>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4">
    <w:nsid w:val="00000005"/>
    <w:multiLevelType w:val="multilevel"/>
    <w:tmpl w:val="894EE877"/>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00000006"/>
    <w:multiLevelType w:val="multilevel"/>
    <w:tmpl w:val="894EE878"/>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6">
    <w:nsid w:val="00000007"/>
    <w:multiLevelType w:val="multilevel"/>
    <w:tmpl w:val="894EE879"/>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7">
    <w:nsid w:val="00000008"/>
    <w:multiLevelType w:val="multilevel"/>
    <w:tmpl w:val="894EE87A"/>
    <w:lvl w:ilvl="0">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8">
    <w:nsid w:val="00000009"/>
    <w:multiLevelType w:val="multilevel"/>
    <w:tmpl w:val="894EE87B"/>
    <w:lvl w:ilvl="0">
      <w:start w:val="1"/>
      <w:numFmt w:val="bullet"/>
      <w:suff w:val="nothing"/>
      <w:lvlText w:val="•"/>
      <w:lvlJc w:val="left"/>
      <w:pPr>
        <w:ind w:left="0" w:firstLine="72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9">
    <w:nsid w:val="0000000A"/>
    <w:multiLevelType w:val="multilevel"/>
    <w:tmpl w:val="894EE87C"/>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00000C"/>
    <w:multiLevelType w:val="multilevel"/>
    <w:tmpl w:val="894EE87E"/>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2">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000000E"/>
    <w:multiLevelType w:val="multilevel"/>
    <w:tmpl w:val="894EE880"/>
    <w:lvl w:ilvl="0">
      <w:start w:val="1"/>
      <w:numFmt w:val="bullet"/>
      <w:lvlText w:val="-"/>
      <w:lvlJc w:val="left"/>
      <w:pPr>
        <w:tabs>
          <w:tab w:val="num" w:pos="360"/>
        </w:tabs>
        <w:ind w:left="360" w:firstLine="360"/>
      </w:pPr>
      <w:rPr>
        <w:rFonts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4">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0000010"/>
    <w:multiLevelType w:val="multilevel"/>
    <w:tmpl w:val="894EE882"/>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6">
    <w:nsid w:val="00000011"/>
    <w:multiLevelType w:val="multilevel"/>
    <w:tmpl w:val="894EE883"/>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7">
    <w:nsid w:val="00000012"/>
    <w:multiLevelType w:val="multilevel"/>
    <w:tmpl w:val="894EE88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8">
    <w:nsid w:val="00000013"/>
    <w:multiLevelType w:val="multilevel"/>
    <w:tmpl w:val="894EE885"/>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9">
    <w:nsid w:val="00CA6C14"/>
    <w:multiLevelType w:val="hybridMultilevel"/>
    <w:tmpl w:val="FBC2F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010B252D"/>
    <w:multiLevelType w:val="hybridMultilevel"/>
    <w:tmpl w:val="E4541440"/>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09B06782"/>
    <w:multiLevelType w:val="hybridMultilevel"/>
    <w:tmpl w:val="450A2486"/>
    <w:lvl w:ilvl="0" w:tplc="A46C571E">
      <w:start w:val="1"/>
      <w:numFmt w:val="bullet"/>
      <w:lvlText w:val="•"/>
      <w:lvlJc w:val="left"/>
      <w:pPr>
        <w:tabs>
          <w:tab w:val="num" w:pos="720"/>
        </w:tabs>
        <w:ind w:left="720" w:hanging="360"/>
      </w:pPr>
      <w:rPr>
        <w:rFonts w:ascii="Arial" w:hAnsi="Arial" w:hint="default"/>
      </w:rPr>
    </w:lvl>
    <w:lvl w:ilvl="1" w:tplc="6B4EF75C" w:tentative="1">
      <w:start w:val="1"/>
      <w:numFmt w:val="bullet"/>
      <w:lvlText w:val="•"/>
      <w:lvlJc w:val="left"/>
      <w:pPr>
        <w:tabs>
          <w:tab w:val="num" w:pos="1440"/>
        </w:tabs>
        <w:ind w:left="1440" w:hanging="360"/>
      </w:pPr>
      <w:rPr>
        <w:rFonts w:ascii="Arial" w:hAnsi="Arial" w:hint="default"/>
      </w:rPr>
    </w:lvl>
    <w:lvl w:ilvl="2" w:tplc="1B46AEBE" w:tentative="1">
      <w:start w:val="1"/>
      <w:numFmt w:val="bullet"/>
      <w:lvlText w:val="•"/>
      <w:lvlJc w:val="left"/>
      <w:pPr>
        <w:tabs>
          <w:tab w:val="num" w:pos="2160"/>
        </w:tabs>
        <w:ind w:left="2160" w:hanging="360"/>
      </w:pPr>
      <w:rPr>
        <w:rFonts w:ascii="Arial" w:hAnsi="Arial" w:hint="default"/>
      </w:rPr>
    </w:lvl>
    <w:lvl w:ilvl="3" w:tplc="1FFC8040" w:tentative="1">
      <w:start w:val="1"/>
      <w:numFmt w:val="bullet"/>
      <w:lvlText w:val="•"/>
      <w:lvlJc w:val="left"/>
      <w:pPr>
        <w:tabs>
          <w:tab w:val="num" w:pos="2880"/>
        </w:tabs>
        <w:ind w:left="2880" w:hanging="360"/>
      </w:pPr>
      <w:rPr>
        <w:rFonts w:ascii="Arial" w:hAnsi="Arial" w:hint="default"/>
      </w:rPr>
    </w:lvl>
    <w:lvl w:ilvl="4" w:tplc="9F4E1B1C" w:tentative="1">
      <w:start w:val="1"/>
      <w:numFmt w:val="bullet"/>
      <w:lvlText w:val="•"/>
      <w:lvlJc w:val="left"/>
      <w:pPr>
        <w:tabs>
          <w:tab w:val="num" w:pos="3600"/>
        </w:tabs>
        <w:ind w:left="3600" w:hanging="360"/>
      </w:pPr>
      <w:rPr>
        <w:rFonts w:ascii="Arial" w:hAnsi="Arial" w:hint="default"/>
      </w:rPr>
    </w:lvl>
    <w:lvl w:ilvl="5" w:tplc="7008475C" w:tentative="1">
      <w:start w:val="1"/>
      <w:numFmt w:val="bullet"/>
      <w:lvlText w:val="•"/>
      <w:lvlJc w:val="left"/>
      <w:pPr>
        <w:tabs>
          <w:tab w:val="num" w:pos="4320"/>
        </w:tabs>
        <w:ind w:left="4320" w:hanging="360"/>
      </w:pPr>
      <w:rPr>
        <w:rFonts w:ascii="Arial" w:hAnsi="Arial" w:hint="default"/>
      </w:rPr>
    </w:lvl>
    <w:lvl w:ilvl="6" w:tplc="E48A00EA" w:tentative="1">
      <w:start w:val="1"/>
      <w:numFmt w:val="bullet"/>
      <w:lvlText w:val="•"/>
      <w:lvlJc w:val="left"/>
      <w:pPr>
        <w:tabs>
          <w:tab w:val="num" w:pos="5040"/>
        </w:tabs>
        <w:ind w:left="5040" w:hanging="360"/>
      </w:pPr>
      <w:rPr>
        <w:rFonts w:ascii="Arial" w:hAnsi="Arial" w:hint="default"/>
      </w:rPr>
    </w:lvl>
    <w:lvl w:ilvl="7" w:tplc="5D3C577E" w:tentative="1">
      <w:start w:val="1"/>
      <w:numFmt w:val="bullet"/>
      <w:lvlText w:val="•"/>
      <w:lvlJc w:val="left"/>
      <w:pPr>
        <w:tabs>
          <w:tab w:val="num" w:pos="5760"/>
        </w:tabs>
        <w:ind w:left="5760" w:hanging="360"/>
      </w:pPr>
      <w:rPr>
        <w:rFonts w:ascii="Arial" w:hAnsi="Arial" w:hint="default"/>
      </w:rPr>
    </w:lvl>
    <w:lvl w:ilvl="8" w:tplc="03E6DD14" w:tentative="1">
      <w:start w:val="1"/>
      <w:numFmt w:val="bullet"/>
      <w:lvlText w:val="•"/>
      <w:lvlJc w:val="left"/>
      <w:pPr>
        <w:tabs>
          <w:tab w:val="num" w:pos="6480"/>
        </w:tabs>
        <w:ind w:left="6480" w:hanging="360"/>
      </w:pPr>
      <w:rPr>
        <w:rFonts w:ascii="Arial" w:hAnsi="Arial" w:hint="default"/>
      </w:rPr>
    </w:lvl>
  </w:abstractNum>
  <w:abstractNum w:abstractNumId="22">
    <w:nsid w:val="0E50565E"/>
    <w:multiLevelType w:val="hybridMultilevel"/>
    <w:tmpl w:val="D2C6739E"/>
    <w:lvl w:ilvl="0" w:tplc="FD3206BC">
      <w:numFmt w:val="bullet"/>
      <w:lvlText w:val="-"/>
      <w:lvlJc w:val="left"/>
      <w:pPr>
        <w:ind w:left="720" w:hanging="360"/>
      </w:pPr>
      <w:rPr>
        <w:rFonts w:ascii="Verdana" w:eastAsiaTheme="minorHAnsi" w:hAnsi="Verdana" w:cstheme="minorBidi"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16F32977"/>
    <w:multiLevelType w:val="hybridMultilevel"/>
    <w:tmpl w:val="F9747C28"/>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A271151"/>
    <w:multiLevelType w:val="hybridMultilevel"/>
    <w:tmpl w:val="90989FBE"/>
    <w:lvl w:ilvl="0" w:tplc="7CECD04C">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75F1530"/>
    <w:multiLevelType w:val="hybridMultilevel"/>
    <w:tmpl w:val="027A7610"/>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96A4DBE"/>
    <w:multiLevelType w:val="hybridMultilevel"/>
    <w:tmpl w:val="CACEC84A"/>
    <w:lvl w:ilvl="0" w:tplc="CBC4BF6A">
      <w:start w:val="100"/>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BBC62D6"/>
    <w:multiLevelType w:val="hybridMultilevel"/>
    <w:tmpl w:val="0BE83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B3745F2"/>
    <w:multiLevelType w:val="hybridMultilevel"/>
    <w:tmpl w:val="1086616A"/>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CC315F2"/>
    <w:multiLevelType w:val="multilevel"/>
    <w:tmpl w:val="ADCCD7F0"/>
    <w:lvl w:ilvl="0">
      <w:start w:val="1"/>
      <w:numFmt w:val="bullet"/>
      <w:pStyle w:val="CAbulletlist"/>
      <w:lvlText w:val=""/>
      <w:lvlJc w:val="left"/>
      <w:pPr>
        <w:ind w:left="360" w:hanging="360"/>
      </w:pPr>
      <w:rPr>
        <w:rFonts w:ascii="Symbol" w:hAnsi="Symbol" w:hint="default"/>
        <w:color w:val="D50032"/>
        <w:sz w:val="22"/>
      </w:rPr>
    </w:lvl>
    <w:lvl w:ilvl="1">
      <w:start w:val="1"/>
      <w:numFmt w:val="bullet"/>
      <w:lvlText w:val="-"/>
      <w:lvlJc w:val="left"/>
      <w:pPr>
        <w:ind w:left="720" w:hanging="360"/>
      </w:pPr>
      <w:rPr>
        <w:rFonts w:ascii="Calibri" w:hAnsi="Calibri" w:hint="default"/>
        <w:color w:val="003865"/>
        <w:sz w:val="24"/>
      </w:rPr>
    </w:lvl>
    <w:lvl w:ilvl="2">
      <w:start w:val="1"/>
      <w:numFmt w:val="bullet"/>
      <w:lvlText w:val=""/>
      <w:lvlJc w:val="left"/>
      <w:pPr>
        <w:ind w:left="1080" w:hanging="360"/>
      </w:pPr>
      <w:rPr>
        <w:rFonts w:ascii="Symbol" w:hAnsi="Symbol" w:hint="default"/>
        <w:color w:val="D5003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F0D7D2C"/>
    <w:multiLevelType w:val="hybridMultilevel"/>
    <w:tmpl w:val="9B8CE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0DF537A"/>
    <w:multiLevelType w:val="hybridMultilevel"/>
    <w:tmpl w:val="B4D04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558589D"/>
    <w:multiLevelType w:val="hybridMultilevel"/>
    <w:tmpl w:val="9AD6AA4A"/>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81C73E9"/>
    <w:multiLevelType w:val="hybridMultilevel"/>
    <w:tmpl w:val="459CDF34"/>
    <w:lvl w:ilvl="0" w:tplc="66FA2084">
      <w:start w:val="1"/>
      <w:numFmt w:val="decimal"/>
      <w:pStyle w:val="CAnumbering"/>
      <w:lvlText w:val="%1."/>
      <w:lvlJc w:val="left"/>
      <w:pPr>
        <w:ind w:left="720" w:hanging="360"/>
      </w:pPr>
      <w:rPr>
        <w:rFonts w:ascii="Calibri" w:hAnsi="Calibri" w:hint="default"/>
        <w:color w:val="D5003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A232A84"/>
    <w:multiLevelType w:val="hybridMultilevel"/>
    <w:tmpl w:val="203AC63A"/>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A7176C"/>
    <w:multiLevelType w:val="hybridMultilevel"/>
    <w:tmpl w:val="781AEF9A"/>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3A7E0B"/>
    <w:multiLevelType w:val="hybridMultilevel"/>
    <w:tmpl w:val="5A201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3BA7C03"/>
    <w:multiLevelType w:val="hybridMultilevel"/>
    <w:tmpl w:val="010EC1E2"/>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64327A2"/>
    <w:multiLevelType w:val="hybridMultilevel"/>
    <w:tmpl w:val="85FC8AA6"/>
    <w:lvl w:ilvl="0" w:tplc="DA9C3E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7386E2C"/>
    <w:multiLevelType w:val="hybridMultilevel"/>
    <w:tmpl w:val="1F58F0BA"/>
    <w:lvl w:ilvl="0" w:tplc="FED00348">
      <w:start w:val="1"/>
      <w:numFmt w:val="bullet"/>
      <w:lvlText w:val=""/>
      <w:lvlJc w:val="left"/>
      <w:pPr>
        <w:ind w:left="814" w:hanging="360"/>
      </w:pPr>
      <w:rPr>
        <w:rFonts w:ascii="Symbol" w:hAnsi="Symbol" w:hint="default"/>
        <w:color w:val="D500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9"/>
  </w:num>
  <w:num w:numId="2">
    <w:abstractNumId w:val="29"/>
  </w:num>
  <w:num w:numId="3">
    <w:abstractNumId w:val="33"/>
  </w:num>
  <w:num w:numId="4">
    <w:abstractNumId w:val="24"/>
  </w:num>
  <w:num w:numId="5">
    <w:abstractNumId w:val="21"/>
  </w:num>
  <w:num w:numId="6">
    <w:abstractNumId w:val="26"/>
  </w:num>
  <w:num w:numId="7">
    <w:abstractNumId w:val="31"/>
  </w:num>
  <w:num w:numId="8">
    <w:abstractNumId w:val="30"/>
  </w:num>
  <w:num w:numId="9">
    <w:abstractNumId w:val="19"/>
  </w:num>
  <w:num w:numId="10">
    <w:abstractNumId w:val="36"/>
  </w:num>
  <w:num w:numId="11">
    <w:abstractNumId w:val="27"/>
  </w:num>
  <w:num w:numId="12">
    <w:abstractNumId w:val="38"/>
  </w:num>
  <w:num w:numId="13">
    <w:abstractNumId w:val="34"/>
  </w:num>
  <w:num w:numId="14">
    <w:abstractNumId w:val="25"/>
  </w:num>
  <w:num w:numId="15">
    <w:abstractNumId w:val="28"/>
  </w:num>
  <w:num w:numId="16">
    <w:abstractNumId w:val="20"/>
  </w:num>
  <w:num w:numId="17">
    <w:abstractNumId w:val="23"/>
  </w:num>
  <w:num w:numId="18">
    <w:abstractNumId w:val="32"/>
  </w:num>
  <w:num w:numId="19">
    <w:abstractNumId w:val="37"/>
  </w:num>
  <w:num w:numId="20">
    <w:abstractNumId w:val="35"/>
  </w:num>
  <w:num w:numId="21">
    <w:abstractNumId w:val="22"/>
  </w:num>
  <w:num w:numId="22">
    <w:abstractNumId w:val="0"/>
  </w:num>
  <w:num w:numId="23">
    <w:abstractNumId w:val="1"/>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0"/>
  </w:num>
  <w:num w:numId="33">
    <w:abstractNumId w:val="11"/>
  </w:num>
  <w:num w:numId="34">
    <w:abstractNumId w:val="12"/>
  </w:num>
  <w:num w:numId="35">
    <w:abstractNumId w:val="13"/>
  </w:num>
  <w:num w:numId="36">
    <w:abstractNumId w:val="14"/>
  </w:num>
  <w:num w:numId="37">
    <w:abstractNumId w:val="15"/>
  </w:num>
  <w:num w:numId="38">
    <w:abstractNumId w:val="16"/>
  </w:num>
  <w:num w:numId="39">
    <w:abstractNumId w:val="17"/>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en-GB" w:vendorID="64" w:dllVersion="131078" w:nlCheck="1" w:checkStyle="0"/>
  <w:activeWritingStyle w:appName="MSWord" w:lang="en-US" w:vendorID="64" w:dllVersion="131078" w:nlCheck="1" w:checkStyle="1"/>
  <w:trackRevisions/>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C81"/>
    <w:rsid w:val="00001273"/>
    <w:rsid w:val="00011399"/>
    <w:rsid w:val="00014372"/>
    <w:rsid w:val="00015764"/>
    <w:rsid w:val="000329DD"/>
    <w:rsid w:val="00034490"/>
    <w:rsid w:val="00036ADC"/>
    <w:rsid w:val="0005019C"/>
    <w:rsid w:val="0005182D"/>
    <w:rsid w:val="00051BF1"/>
    <w:rsid w:val="00053F02"/>
    <w:rsid w:val="0005605A"/>
    <w:rsid w:val="00061B83"/>
    <w:rsid w:val="0006584D"/>
    <w:rsid w:val="000672F0"/>
    <w:rsid w:val="000679E3"/>
    <w:rsid w:val="00070709"/>
    <w:rsid w:val="00077ACB"/>
    <w:rsid w:val="0008094C"/>
    <w:rsid w:val="000818B3"/>
    <w:rsid w:val="00081DAA"/>
    <w:rsid w:val="00084F23"/>
    <w:rsid w:val="0008607C"/>
    <w:rsid w:val="00086276"/>
    <w:rsid w:val="00086F44"/>
    <w:rsid w:val="000911BB"/>
    <w:rsid w:val="000945A2"/>
    <w:rsid w:val="00097E88"/>
    <w:rsid w:val="000A2A78"/>
    <w:rsid w:val="000A3282"/>
    <w:rsid w:val="000A403C"/>
    <w:rsid w:val="000B0A29"/>
    <w:rsid w:val="000B1593"/>
    <w:rsid w:val="000B159A"/>
    <w:rsid w:val="000B3819"/>
    <w:rsid w:val="000C32F0"/>
    <w:rsid w:val="000D5823"/>
    <w:rsid w:val="000D68AE"/>
    <w:rsid w:val="000E0F39"/>
    <w:rsid w:val="000E1634"/>
    <w:rsid w:val="000E7A12"/>
    <w:rsid w:val="000F4C26"/>
    <w:rsid w:val="000F5508"/>
    <w:rsid w:val="00106A83"/>
    <w:rsid w:val="001106FF"/>
    <w:rsid w:val="00111F18"/>
    <w:rsid w:val="00112C72"/>
    <w:rsid w:val="00113489"/>
    <w:rsid w:val="00113E7B"/>
    <w:rsid w:val="0011636F"/>
    <w:rsid w:val="00126B2D"/>
    <w:rsid w:val="00127E89"/>
    <w:rsid w:val="00140413"/>
    <w:rsid w:val="00143B57"/>
    <w:rsid w:val="00145E56"/>
    <w:rsid w:val="00154D2F"/>
    <w:rsid w:val="001577B4"/>
    <w:rsid w:val="00157FC5"/>
    <w:rsid w:val="001631B1"/>
    <w:rsid w:val="0016632B"/>
    <w:rsid w:val="001748B3"/>
    <w:rsid w:val="00180AAA"/>
    <w:rsid w:val="00185C65"/>
    <w:rsid w:val="00192F52"/>
    <w:rsid w:val="00193352"/>
    <w:rsid w:val="0019371B"/>
    <w:rsid w:val="001B21DC"/>
    <w:rsid w:val="001B2F1C"/>
    <w:rsid w:val="001B6936"/>
    <w:rsid w:val="001B7339"/>
    <w:rsid w:val="001C00CE"/>
    <w:rsid w:val="001C6615"/>
    <w:rsid w:val="001C798F"/>
    <w:rsid w:val="001D0340"/>
    <w:rsid w:val="001E22BD"/>
    <w:rsid w:val="001E50D0"/>
    <w:rsid w:val="001E6D5E"/>
    <w:rsid w:val="001F630C"/>
    <w:rsid w:val="00201C1A"/>
    <w:rsid w:val="00206824"/>
    <w:rsid w:val="00217EFB"/>
    <w:rsid w:val="0022192E"/>
    <w:rsid w:val="00222EB4"/>
    <w:rsid w:val="00226ABF"/>
    <w:rsid w:val="002300CD"/>
    <w:rsid w:val="0023728C"/>
    <w:rsid w:val="0024318D"/>
    <w:rsid w:val="002449BC"/>
    <w:rsid w:val="0025079E"/>
    <w:rsid w:val="00256194"/>
    <w:rsid w:val="00256691"/>
    <w:rsid w:val="00273FB3"/>
    <w:rsid w:val="0027572E"/>
    <w:rsid w:val="002845A4"/>
    <w:rsid w:val="002859DE"/>
    <w:rsid w:val="00290AC5"/>
    <w:rsid w:val="00296174"/>
    <w:rsid w:val="002A230B"/>
    <w:rsid w:val="002A5EE2"/>
    <w:rsid w:val="002B26AC"/>
    <w:rsid w:val="002B29CA"/>
    <w:rsid w:val="002B3A8D"/>
    <w:rsid w:val="002B40BB"/>
    <w:rsid w:val="002B5AE4"/>
    <w:rsid w:val="002C25B6"/>
    <w:rsid w:val="002C459C"/>
    <w:rsid w:val="002D3D24"/>
    <w:rsid w:val="002D5FE4"/>
    <w:rsid w:val="002D72F1"/>
    <w:rsid w:val="002E1F01"/>
    <w:rsid w:val="002E72C0"/>
    <w:rsid w:val="002E7DCA"/>
    <w:rsid w:val="002F05C8"/>
    <w:rsid w:val="00300769"/>
    <w:rsid w:val="00302ED4"/>
    <w:rsid w:val="0030386E"/>
    <w:rsid w:val="00306164"/>
    <w:rsid w:val="003112AE"/>
    <w:rsid w:val="003154C0"/>
    <w:rsid w:val="00330B36"/>
    <w:rsid w:val="0033380D"/>
    <w:rsid w:val="003442AC"/>
    <w:rsid w:val="0034504F"/>
    <w:rsid w:val="00345B91"/>
    <w:rsid w:val="003463DF"/>
    <w:rsid w:val="00354640"/>
    <w:rsid w:val="003556A3"/>
    <w:rsid w:val="0036551B"/>
    <w:rsid w:val="003671BD"/>
    <w:rsid w:val="00372747"/>
    <w:rsid w:val="00373229"/>
    <w:rsid w:val="00373FF7"/>
    <w:rsid w:val="00376245"/>
    <w:rsid w:val="003773FF"/>
    <w:rsid w:val="0038110A"/>
    <w:rsid w:val="00383C18"/>
    <w:rsid w:val="00386050"/>
    <w:rsid w:val="00387148"/>
    <w:rsid w:val="0038764D"/>
    <w:rsid w:val="00391274"/>
    <w:rsid w:val="00396299"/>
    <w:rsid w:val="003A3440"/>
    <w:rsid w:val="003A7D5F"/>
    <w:rsid w:val="003B1C81"/>
    <w:rsid w:val="003B3B32"/>
    <w:rsid w:val="003C2455"/>
    <w:rsid w:val="003C2FF7"/>
    <w:rsid w:val="003C3374"/>
    <w:rsid w:val="003D0596"/>
    <w:rsid w:val="003D1891"/>
    <w:rsid w:val="003D305C"/>
    <w:rsid w:val="003E1CFA"/>
    <w:rsid w:val="003E611F"/>
    <w:rsid w:val="003F0F3F"/>
    <w:rsid w:val="003F15AA"/>
    <w:rsid w:val="003F53F1"/>
    <w:rsid w:val="003F64C0"/>
    <w:rsid w:val="00400A7F"/>
    <w:rsid w:val="00400E5B"/>
    <w:rsid w:val="00403380"/>
    <w:rsid w:val="004113AE"/>
    <w:rsid w:val="00411827"/>
    <w:rsid w:val="004131FA"/>
    <w:rsid w:val="00420B36"/>
    <w:rsid w:val="004226C1"/>
    <w:rsid w:val="0042391D"/>
    <w:rsid w:val="00425B5D"/>
    <w:rsid w:val="00430ADB"/>
    <w:rsid w:val="00432BF8"/>
    <w:rsid w:val="00440B1F"/>
    <w:rsid w:val="00440D66"/>
    <w:rsid w:val="0044429D"/>
    <w:rsid w:val="0044458F"/>
    <w:rsid w:val="00445DE8"/>
    <w:rsid w:val="00446455"/>
    <w:rsid w:val="00462E56"/>
    <w:rsid w:val="00465D14"/>
    <w:rsid w:val="0047268F"/>
    <w:rsid w:val="004742DF"/>
    <w:rsid w:val="004751A5"/>
    <w:rsid w:val="00480080"/>
    <w:rsid w:val="004827BC"/>
    <w:rsid w:val="00482FD8"/>
    <w:rsid w:val="004868E1"/>
    <w:rsid w:val="004870A5"/>
    <w:rsid w:val="00494520"/>
    <w:rsid w:val="004A02D0"/>
    <w:rsid w:val="004A0B88"/>
    <w:rsid w:val="004A4A5E"/>
    <w:rsid w:val="004A68D9"/>
    <w:rsid w:val="004B204F"/>
    <w:rsid w:val="004B5F52"/>
    <w:rsid w:val="004B5FA8"/>
    <w:rsid w:val="004B67D1"/>
    <w:rsid w:val="004B6D5B"/>
    <w:rsid w:val="004C1E3D"/>
    <w:rsid w:val="004C5036"/>
    <w:rsid w:val="004C510C"/>
    <w:rsid w:val="004C6D40"/>
    <w:rsid w:val="004D0D6C"/>
    <w:rsid w:val="004D0E80"/>
    <w:rsid w:val="004D232E"/>
    <w:rsid w:val="004D36C8"/>
    <w:rsid w:val="004E6653"/>
    <w:rsid w:val="004F7518"/>
    <w:rsid w:val="005040DF"/>
    <w:rsid w:val="00506E60"/>
    <w:rsid w:val="005078CD"/>
    <w:rsid w:val="00507BD7"/>
    <w:rsid w:val="005118C2"/>
    <w:rsid w:val="00511B7C"/>
    <w:rsid w:val="005170F2"/>
    <w:rsid w:val="005220F5"/>
    <w:rsid w:val="00525D11"/>
    <w:rsid w:val="00531335"/>
    <w:rsid w:val="00534ADC"/>
    <w:rsid w:val="00537E9E"/>
    <w:rsid w:val="00540682"/>
    <w:rsid w:val="0054340F"/>
    <w:rsid w:val="00544E40"/>
    <w:rsid w:val="005544F3"/>
    <w:rsid w:val="005558FA"/>
    <w:rsid w:val="005600F2"/>
    <w:rsid w:val="00563F1A"/>
    <w:rsid w:val="00565BD9"/>
    <w:rsid w:val="00567B02"/>
    <w:rsid w:val="00567BCD"/>
    <w:rsid w:val="00571AA3"/>
    <w:rsid w:val="005733A8"/>
    <w:rsid w:val="005750A1"/>
    <w:rsid w:val="005758D0"/>
    <w:rsid w:val="00575F04"/>
    <w:rsid w:val="00576EBA"/>
    <w:rsid w:val="00580193"/>
    <w:rsid w:val="0058473A"/>
    <w:rsid w:val="00592B4A"/>
    <w:rsid w:val="00593C1D"/>
    <w:rsid w:val="00593C6D"/>
    <w:rsid w:val="0059699C"/>
    <w:rsid w:val="00597E9D"/>
    <w:rsid w:val="005A0221"/>
    <w:rsid w:val="005A1892"/>
    <w:rsid w:val="005A2C62"/>
    <w:rsid w:val="005A39EE"/>
    <w:rsid w:val="005A6392"/>
    <w:rsid w:val="005A6B0E"/>
    <w:rsid w:val="005B54A5"/>
    <w:rsid w:val="005B74B3"/>
    <w:rsid w:val="005C2DEE"/>
    <w:rsid w:val="005C4146"/>
    <w:rsid w:val="005C738B"/>
    <w:rsid w:val="005D07EB"/>
    <w:rsid w:val="005D5295"/>
    <w:rsid w:val="005D58E0"/>
    <w:rsid w:val="005D7C35"/>
    <w:rsid w:val="005E2E1C"/>
    <w:rsid w:val="005E4ECB"/>
    <w:rsid w:val="005F1329"/>
    <w:rsid w:val="005F41F4"/>
    <w:rsid w:val="005F4A76"/>
    <w:rsid w:val="005F70D8"/>
    <w:rsid w:val="005F750E"/>
    <w:rsid w:val="00600E96"/>
    <w:rsid w:val="00601B91"/>
    <w:rsid w:val="00601BBB"/>
    <w:rsid w:val="006034C2"/>
    <w:rsid w:val="006040E9"/>
    <w:rsid w:val="00606C52"/>
    <w:rsid w:val="00614334"/>
    <w:rsid w:val="00616441"/>
    <w:rsid w:val="006175B4"/>
    <w:rsid w:val="00620453"/>
    <w:rsid w:val="0062573C"/>
    <w:rsid w:val="00627549"/>
    <w:rsid w:val="00636DC7"/>
    <w:rsid w:val="00637163"/>
    <w:rsid w:val="00641459"/>
    <w:rsid w:val="00651865"/>
    <w:rsid w:val="00651D90"/>
    <w:rsid w:val="00666B22"/>
    <w:rsid w:val="00671948"/>
    <w:rsid w:val="006734B6"/>
    <w:rsid w:val="00681E1F"/>
    <w:rsid w:val="006836CA"/>
    <w:rsid w:val="00685096"/>
    <w:rsid w:val="0068554A"/>
    <w:rsid w:val="00685A5C"/>
    <w:rsid w:val="00694595"/>
    <w:rsid w:val="006A4BF9"/>
    <w:rsid w:val="006B55B5"/>
    <w:rsid w:val="006B6F36"/>
    <w:rsid w:val="006C4F61"/>
    <w:rsid w:val="006C6F15"/>
    <w:rsid w:val="006D5B52"/>
    <w:rsid w:val="006D7635"/>
    <w:rsid w:val="006D7761"/>
    <w:rsid w:val="006D7B43"/>
    <w:rsid w:val="006E1B49"/>
    <w:rsid w:val="006E29FC"/>
    <w:rsid w:val="006E4926"/>
    <w:rsid w:val="006E5562"/>
    <w:rsid w:val="006E6AED"/>
    <w:rsid w:val="006F0EA2"/>
    <w:rsid w:val="006F25F1"/>
    <w:rsid w:val="00720986"/>
    <w:rsid w:val="0072341B"/>
    <w:rsid w:val="007235E6"/>
    <w:rsid w:val="0072715C"/>
    <w:rsid w:val="00727355"/>
    <w:rsid w:val="007312F7"/>
    <w:rsid w:val="00741212"/>
    <w:rsid w:val="00741558"/>
    <w:rsid w:val="00741917"/>
    <w:rsid w:val="0074442A"/>
    <w:rsid w:val="007477D2"/>
    <w:rsid w:val="00747A9C"/>
    <w:rsid w:val="00750380"/>
    <w:rsid w:val="007526C5"/>
    <w:rsid w:val="00754833"/>
    <w:rsid w:val="007548BB"/>
    <w:rsid w:val="00761644"/>
    <w:rsid w:val="007709EA"/>
    <w:rsid w:val="00772426"/>
    <w:rsid w:val="0077278B"/>
    <w:rsid w:val="007737DF"/>
    <w:rsid w:val="007805FC"/>
    <w:rsid w:val="00784FAE"/>
    <w:rsid w:val="007876A6"/>
    <w:rsid w:val="00790E7B"/>
    <w:rsid w:val="007923A7"/>
    <w:rsid w:val="007930AE"/>
    <w:rsid w:val="007935D5"/>
    <w:rsid w:val="007A071C"/>
    <w:rsid w:val="007A1DB4"/>
    <w:rsid w:val="007A5327"/>
    <w:rsid w:val="007A639B"/>
    <w:rsid w:val="007A6FDB"/>
    <w:rsid w:val="007B316C"/>
    <w:rsid w:val="007B3BF8"/>
    <w:rsid w:val="007B7EA6"/>
    <w:rsid w:val="007C3884"/>
    <w:rsid w:val="007D14FF"/>
    <w:rsid w:val="007D194F"/>
    <w:rsid w:val="007D3EF8"/>
    <w:rsid w:val="007D7AF8"/>
    <w:rsid w:val="007E15EE"/>
    <w:rsid w:val="007E5397"/>
    <w:rsid w:val="007F551B"/>
    <w:rsid w:val="007F7902"/>
    <w:rsid w:val="008003B4"/>
    <w:rsid w:val="00800872"/>
    <w:rsid w:val="00801CED"/>
    <w:rsid w:val="00801CFE"/>
    <w:rsid w:val="0080291D"/>
    <w:rsid w:val="00804585"/>
    <w:rsid w:val="00804CFD"/>
    <w:rsid w:val="008155B1"/>
    <w:rsid w:val="00816CC7"/>
    <w:rsid w:val="008175A4"/>
    <w:rsid w:val="00817CB4"/>
    <w:rsid w:val="008202FF"/>
    <w:rsid w:val="00820C35"/>
    <w:rsid w:val="00827F3B"/>
    <w:rsid w:val="00830585"/>
    <w:rsid w:val="00831C1B"/>
    <w:rsid w:val="00840B9E"/>
    <w:rsid w:val="00841E6B"/>
    <w:rsid w:val="00842F65"/>
    <w:rsid w:val="008461D2"/>
    <w:rsid w:val="008500E4"/>
    <w:rsid w:val="008549AC"/>
    <w:rsid w:val="00867633"/>
    <w:rsid w:val="00870383"/>
    <w:rsid w:val="00871804"/>
    <w:rsid w:val="00875716"/>
    <w:rsid w:val="008759A1"/>
    <w:rsid w:val="00876FAE"/>
    <w:rsid w:val="00882FC3"/>
    <w:rsid w:val="00884737"/>
    <w:rsid w:val="008869D5"/>
    <w:rsid w:val="00890AA5"/>
    <w:rsid w:val="008914FB"/>
    <w:rsid w:val="00896142"/>
    <w:rsid w:val="008A1446"/>
    <w:rsid w:val="008A5EC2"/>
    <w:rsid w:val="008B0611"/>
    <w:rsid w:val="008B1345"/>
    <w:rsid w:val="008B2F1A"/>
    <w:rsid w:val="008B4910"/>
    <w:rsid w:val="008B65F7"/>
    <w:rsid w:val="008B6730"/>
    <w:rsid w:val="008B678E"/>
    <w:rsid w:val="008B769D"/>
    <w:rsid w:val="008C5C84"/>
    <w:rsid w:val="008D1ADC"/>
    <w:rsid w:val="008D2B26"/>
    <w:rsid w:val="008E028A"/>
    <w:rsid w:val="008E16AB"/>
    <w:rsid w:val="008E58A4"/>
    <w:rsid w:val="008E6E82"/>
    <w:rsid w:val="008F0C9C"/>
    <w:rsid w:val="008F3D82"/>
    <w:rsid w:val="008F4AC7"/>
    <w:rsid w:val="008F65A4"/>
    <w:rsid w:val="009000D3"/>
    <w:rsid w:val="009006A7"/>
    <w:rsid w:val="00903317"/>
    <w:rsid w:val="00903535"/>
    <w:rsid w:val="00907337"/>
    <w:rsid w:val="00910FB9"/>
    <w:rsid w:val="00913D40"/>
    <w:rsid w:val="00915BC2"/>
    <w:rsid w:val="00917907"/>
    <w:rsid w:val="009205F1"/>
    <w:rsid w:val="0092501A"/>
    <w:rsid w:val="009250D5"/>
    <w:rsid w:val="0092515B"/>
    <w:rsid w:val="00931732"/>
    <w:rsid w:val="009319B4"/>
    <w:rsid w:val="0093235D"/>
    <w:rsid w:val="009373FB"/>
    <w:rsid w:val="009410A4"/>
    <w:rsid w:val="00943DB0"/>
    <w:rsid w:val="009450B0"/>
    <w:rsid w:val="00945D13"/>
    <w:rsid w:val="009461B2"/>
    <w:rsid w:val="00947FAC"/>
    <w:rsid w:val="00950536"/>
    <w:rsid w:val="009562C3"/>
    <w:rsid w:val="00964C4C"/>
    <w:rsid w:val="009676BD"/>
    <w:rsid w:val="009703B6"/>
    <w:rsid w:val="00971E74"/>
    <w:rsid w:val="00982C1C"/>
    <w:rsid w:val="00990431"/>
    <w:rsid w:val="00990C79"/>
    <w:rsid w:val="009923A9"/>
    <w:rsid w:val="009978FA"/>
    <w:rsid w:val="009A3DBB"/>
    <w:rsid w:val="009A64E0"/>
    <w:rsid w:val="009B0CFC"/>
    <w:rsid w:val="009B2627"/>
    <w:rsid w:val="009B36C1"/>
    <w:rsid w:val="009C13A6"/>
    <w:rsid w:val="009C1C20"/>
    <w:rsid w:val="009C1DEC"/>
    <w:rsid w:val="009C4CA8"/>
    <w:rsid w:val="009E31FF"/>
    <w:rsid w:val="009E7B9C"/>
    <w:rsid w:val="009F1354"/>
    <w:rsid w:val="009F220F"/>
    <w:rsid w:val="009F3732"/>
    <w:rsid w:val="009F60F8"/>
    <w:rsid w:val="009F7EBD"/>
    <w:rsid w:val="00A12BF9"/>
    <w:rsid w:val="00A27B67"/>
    <w:rsid w:val="00A27C2C"/>
    <w:rsid w:val="00A30A32"/>
    <w:rsid w:val="00A44837"/>
    <w:rsid w:val="00A44B2D"/>
    <w:rsid w:val="00A471DC"/>
    <w:rsid w:val="00A50C95"/>
    <w:rsid w:val="00A61B62"/>
    <w:rsid w:val="00A62403"/>
    <w:rsid w:val="00A64421"/>
    <w:rsid w:val="00A67EBA"/>
    <w:rsid w:val="00A82896"/>
    <w:rsid w:val="00A82AF7"/>
    <w:rsid w:val="00A944E2"/>
    <w:rsid w:val="00AA12D4"/>
    <w:rsid w:val="00AA2D7A"/>
    <w:rsid w:val="00AA5E8B"/>
    <w:rsid w:val="00AB09DA"/>
    <w:rsid w:val="00AB5EFC"/>
    <w:rsid w:val="00AB62FF"/>
    <w:rsid w:val="00AC2CE8"/>
    <w:rsid w:val="00AD0166"/>
    <w:rsid w:val="00AD2AE5"/>
    <w:rsid w:val="00AD5CA3"/>
    <w:rsid w:val="00AD7C6C"/>
    <w:rsid w:val="00AE3708"/>
    <w:rsid w:val="00AE3F69"/>
    <w:rsid w:val="00AE5A09"/>
    <w:rsid w:val="00AE5B4F"/>
    <w:rsid w:val="00AE6974"/>
    <w:rsid w:val="00AF44F9"/>
    <w:rsid w:val="00AF6724"/>
    <w:rsid w:val="00B118B5"/>
    <w:rsid w:val="00B11B33"/>
    <w:rsid w:val="00B12E1F"/>
    <w:rsid w:val="00B14708"/>
    <w:rsid w:val="00B21E97"/>
    <w:rsid w:val="00B2555D"/>
    <w:rsid w:val="00B2636F"/>
    <w:rsid w:val="00B328BD"/>
    <w:rsid w:val="00B37F9C"/>
    <w:rsid w:val="00B42935"/>
    <w:rsid w:val="00B4449D"/>
    <w:rsid w:val="00B56F2B"/>
    <w:rsid w:val="00B61D65"/>
    <w:rsid w:val="00B64536"/>
    <w:rsid w:val="00B71D87"/>
    <w:rsid w:val="00B8422C"/>
    <w:rsid w:val="00B84983"/>
    <w:rsid w:val="00B8633F"/>
    <w:rsid w:val="00BA0F58"/>
    <w:rsid w:val="00BA2769"/>
    <w:rsid w:val="00BA4A57"/>
    <w:rsid w:val="00BA50D6"/>
    <w:rsid w:val="00BA5585"/>
    <w:rsid w:val="00BA6A91"/>
    <w:rsid w:val="00BA78F4"/>
    <w:rsid w:val="00BC1326"/>
    <w:rsid w:val="00BD3267"/>
    <w:rsid w:val="00BD3654"/>
    <w:rsid w:val="00BD3D0F"/>
    <w:rsid w:val="00BE060C"/>
    <w:rsid w:val="00BE340C"/>
    <w:rsid w:val="00BE4B59"/>
    <w:rsid w:val="00BE5FF3"/>
    <w:rsid w:val="00BE7735"/>
    <w:rsid w:val="00BF11C8"/>
    <w:rsid w:val="00BF2EF7"/>
    <w:rsid w:val="00C02579"/>
    <w:rsid w:val="00C10569"/>
    <w:rsid w:val="00C12BBD"/>
    <w:rsid w:val="00C16BE5"/>
    <w:rsid w:val="00C178B6"/>
    <w:rsid w:val="00C17D35"/>
    <w:rsid w:val="00C301E8"/>
    <w:rsid w:val="00C33788"/>
    <w:rsid w:val="00C37A76"/>
    <w:rsid w:val="00C41516"/>
    <w:rsid w:val="00C429F8"/>
    <w:rsid w:val="00C44F3E"/>
    <w:rsid w:val="00C46EE0"/>
    <w:rsid w:val="00C476B1"/>
    <w:rsid w:val="00C50FDF"/>
    <w:rsid w:val="00C52218"/>
    <w:rsid w:val="00C53C9F"/>
    <w:rsid w:val="00C54919"/>
    <w:rsid w:val="00C54FD7"/>
    <w:rsid w:val="00C634EF"/>
    <w:rsid w:val="00C65FF6"/>
    <w:rsid w:val="00C709EB"/>
    <w:rsid w:val="00C70B81"/>
    <w:rsid w:val="00C7283D"/>
    <w:rsid w:val="00C73361"/>
    <w:rsid w:val="00C800C4"/>
    <w:rsid w:val="00C8486B"/>
    <w:rsid w:val="00C85F19"/>
    <w:rsid w:val="00C86355"/>
    <w:rsid w:val="00C87A8F"/>
    <w:rsid w:val="00C93A75"/>
    <w:rsid w:val="00C94533"/>
    <w:rsid w:val="00C959A7"/>
    <w:rsid w:val="00CA01E4"/>
    <w:rsid w:val="00CA3E46"/>
    <w:rsid w:val="00CA5F22"/>
    <w:rsid w:val="00CB034F"/>
    <w:rsid w:val="00CB44A7"/>
    <w:rsid w:val="00CC13E0"/>
    <w:rsid w:val="00CC35E8"/>
    <w:rsid w:val="00CC58F5"/>
    <w:rsid w:val="00CC71FF"/>
    <w:rsid w:val="00CD128A"/>
    <w:rsid w:val="00CD7867"/>
    <w:rsid w:val="00CE6641"/>
    <w:rsid w:val="00D00C00"/>
    <w:rsid w:val="00D00E6D"/>
    <w:rsid w:val="00D0279A"/>
    <w:rsid w:val="00D06BD6"/>
    <w:rsid w:val="00D15330"/>
    <w:rsid w:val="00D17D32"/>
    <w:rsid w:val="00D2103B"/>
    <w:rsid w:val="00D260AB"/>
    <w:rsid w:val="00D416CE"/>
    <w:rsid w:val="00D42E48"/>
    <w:rsid w:val="00D4383E"/>
    <w:rsid w:val="00D4605A"/>
    <w:rsid w:val="00D47F9C"/>
    <w:rsid w:val="00D537B5"/>
    <w:rsid w:val="00D5469B"/>
    <w:rsid w:val="00D629F1"/>
    <w:rsid w:val="00D635FD"/>
    <w:rsid w:val="00D87685"/>
    <w:rsid w:val="00D9602A"/>
    <w:rsid w:val="00DA4A08"/>
    <w:rsid w:val="00DB4CF6"/>
    <w:rsid w:val="00DB7517"/>
    <w:rsid w:val="00DB7899"/>
    <w:rsid w:val="00DC3D6D"/>
    <w:rsid w:val="00DC5985"/>
    <w:rsid w:val="00DD2A5A"/>
    <w:rsid w:val="00DD3FC6"/>
    <w:rsid w:val="00DD6622"/>
    <w:rsid w:val="00DE2868"/>
    <w:rsid w:val="00DE6225"/>
    <w:rsid w:val="00DE6BD3"/>
    <w:rsid w:val="00DF2B4A"/>
    <w:rsid w:val="00DF519E"/>
    <w:rsid w:val="00E0122F"/>
    <w:rsid w:val="00E01B9F"/>
    <w:rsid w:val="00E04D5E"/>
    <w:rsid w:val="00E1041D"/>
    <w:rsid w:val="00E20498"/>
    <w:rsid w:val="00E22441"/>
    <w:rsid w:val="00E23176"/>
    <w:rsid w:val="00E25720"/>
    <w:rsid w:val="00E30E9D"/>
    <w:rsid w:val="00E32D81"/>
    <w:rsid w:val="00E338C7"/>
    <w:rsid w:val="00E3574D"/>
    <w:rsid w:val="00E365CB"/>
    <w:rsid w:val="00E3706E"/>
    <w:rsid w:val="00E37258"/>
    <w:rsid w:val="00E463C5"/>
    <w:rsid w:val="00E55C41"/>
    <w:rsid w:val="00E62485"/>
    <w:rsid w:val="00E67DFE"/>
    <w:rsid w:val="00E728F6"/>
    <w:rsid w:val="00E85528"/>
    <w:rsid w:val="00E86BD8"/>
    <w:rsid w:val="00E93F1C"/>
    <w:rsid w:val="00E95A1B"/>
    <w:rsid w:val="00EB2703"/>
    <w:rsid w:val="00EB39D0"/>
    <w:rsid w:val="00EB4E08"/>
    <w:rsid w:val="00EB5017"/>
    <w:rsid w:val="00EB5A77"/>
    <w:rsid w:val="00EC0699"/>
    <w:rsid w:val="00EC2F23"/>
    <w:rsid w:val="00EC3E51"/>
    <w:rsid w:val="00EC4AD0"/>
    <w:rsid w:val="00EC6FFE"/>
    <w:rsid w:val="00EC711F"/>
    <w:rsid w:val="00EC721C"/>
    <w:rsid w:val="00EC7D6F"/>
    <w:rsid w:val="00ED2510"/>
    <w:rsid w:val="00ED29F1"/>
    <w:rsid w:val="00ED32BB"/>
    <w:rsid w:val="00ED3384"/>
    <w:rsid w:val="00ED4106"/>
    <w:rsid w:val="00ED4FBA"/>
    <w:rsid w:val="00ED5CC0"/>
    <w:rsid w:val="00ED6518"/>
    <w:rsid w:val="00ED77B8"/>
    <w:rsid w:val="00EF6608"/>
    <w:rsid w:val="00EF6E3B"/>
    <w:rsid w:val="00F04C03"/>
    <w:rsid w:val="00F10E87"/>
    <w:rsid w:val="00F112E7"/>
    <w:rsid w:val="00F17654"/>
    <w:rsid w:val="00F24D5A"/>
    <w:rsid w:val="00F25494"/>
    <w:rsid w:val="00F2572C"/>
    <w:rsid w:val="00F25D75"/>
    <w:rsid w:val="00F3132E"/>
    <w:rsid w:val="00F34BDE"/>
    <w:rsid w:val="00F5296C"/>
    <w:rsid w:val="00F54825"/>
    <w:rsid w:val="00F60B90"/>
    <w:rsid w:val="00F61872"/>
    <w:rsid w:val="00F63D3E"/>
    <w:rsid w:val="00F661BE"/>
    <w:rsid w:val="00F667A8"/>
    <w:rsid w:val="00F705F7"/>
    <w:rsid w:val="00F74DB2"/>
    <w:rsid w:val="00F83422"/>
    <w:rsid w:val="00F862AF"/>
    <w:rsid w:val="00F86636"/>
    <w:rsid w:val="00FA188A"/>
    <w:rsid w:val="00FA4836"/>
    <w:rsid w:val="00FA640B"/>
    <w:rsid w:val="00FA6B49"/>
    <w:rsid w:val="00FB15A5"/>
    <w:rsid w:val="00FB358D"/>
    <w:rsid w:val="00FC0D11"/>
    <w:rsid w:val="00FC3602"/>
    <w:rsid w:val="00FC374E"/>
    <w:rsid w:val="00FC3786"/>
    <w:rsid w:val="00FC503E"/>
    <w:rsid w:val="00FC589A"/>
    <w:rsid w:val="00FC5B22"/>
    <w:rsid w:val="00FD2887"/>
    <w:rsid w:val="00FF1D7B"/>
    <w:rsid w:val="00FF311F"/>
    <w:rsid w:val="00FF78D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E4F7EBDD-0D2D-4FC7-A66B-EFAF596D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55D"/>
  </w:style>
  <w:style w:type="paragraph" w:styleId="Heading1">
    <w:name w:val="heading 1"/>
    <w:aliases w:val="CA intro Heading 1"/>
    <w:basedOn w:val="Normal"/>
    <w:next w:val="Normal"/>
    <w:link w:val="Heading1Char"/>
    <w:qFormat/>
    <w:rsid w:val="00B2555D"/>
    <w:pPr>
      <w:keepNext/>
      <w:keepLines/>
      <w:spacing w:before="240" w:after="240"/>
      <w:contextualSpacing/>
      <w:outlineLvl w:val="0"/>
    </w:pPr>
    <w:rPr>
      <w:rFonts w:ascii="Georgia" w:eastAsiaTheme="majorEastAsia" w:hAnsi="Georgia" w:cstheme="majorBidi"/>
      <w:bCs/>
      <w:color w:val="003865"/>
      <w:sz w:val="26"/>
      <w:szCs w:val="28"/>
    </w:rPr>
  </w:style>
  <w:style w:type="paragraph" w:styleId="Heading2">
    <w:name w:val="heading 2"/>
    <w:aliases w:val="CA main paragraph heading"/>
    <w:basedOn w:val="Normal"/>
    <w:next w:val="Normal"/>
    <w:link w:val="Heading2Char"/>
    <w:unhideWhenUsed/>
    <w:qFormat/>
    <w:rsid w:val="00B2555D"/>
    <w:pPr>
      <w:keepNext/>
      <w:keepLines/>
      <w:spacing w:before="200" w:after="240"/>
      <w:outlineLvl w:val="1"/>
    </w:pPr>
    <w:rPr>
      <w:rFonts w:asciiTheme="majorHAnsi" w:eastAsiaTheme="majorEastAsia" w:hAnsiTheme="majorHAnsi" w:cstheme="majorBidi"/>
      <w:b/>
      <w:bCs/>
      <w:color w:val="002060"/>
      <w:szCs w:val="26"/>
    </w:rPr>
  </w:style>
  <w:style w:type="paragraph" w:styleId="Heading3">
    <w:name w:val="heading 3"/>
    <w:aliases w:val="CA main body heading"/>
    <w:basedOn w:val="Normal"/>
    <w:next w:val="Normal"/>
    <w:link w:val="Heading3Char"/>
    <w:unhideWhenUsed/>
    <w:qFormat/>
    <w:rsid w:val="00B2555D"/>
    <w:pPr>
      <w:keepNext/>
      <w:keepLines/>
      <w:spacing w:before="200"/>
      <w:outlineLvl w:val="2"/>
    </w:pPr>
    <w:rPr>
      <w:rFonts w:eastAsiaTheme="majorEastAsia" w:cstheme="majorBidi"/>
      <w:bCs/>
      <w:color w:val="00386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bulletlist">
    <w:name w:val="CA bulletlist"/>
    <w:basedOn w:val="Normal"/>
    <w:link w:val="CAbulletlistChar"/>
    <w:qFormat/>
    <w:rsid w:val="00DF519E"/>
    <w:pPr>
      <w:numPr>
        <w:numId w:val="2"/>
      </w:numPr>
      <w:contextualSpacing/>
    </w:pPr>
  </w:style>
  <w:style w:type="character" w:customStyle="1" w:styleId="CAbulletlistChar">
    <w:name w:val="CA bulletlist Char"/>
    <w:basedOn w:val="DefaultParagraphFont"/>
    <w:link w:val="CAbulletlist"/>
    <w:rsid w:val="00627549"/>
  </w:style>
  <w:style w:type="paragraph" w:customStyle="1" w:styleId="CAnumbering">
    <w:name w:val="CA numbering"/>
    <w:basedOn w:val="Normal"/>
    <w:link w:val="CAnumberingChar"/>
    <w:qFormat/>
    <w:rsid w:val="00DF519E"/>
    <w:pPr>
      <w:numPr>
        <w:numId w:val="3"/>
      </w:numPr>
      <w:contextualSpacing/>
    </w:pPr>
  </w:style>
  <w:style w:type="character" w:customStyle="1" w:styleId="CAnumberingChar">
    <w:name w:val="CA numbering Char"/>
    <w:basedOn w:val="DefaultParagraphFont"/>
    <w:link w:val="CAnumbering"/>
    <w:rsid w:val="00627549"/>
  </w:style>
  <w:style w:type="character" w:customStyle="1" w:styleId="Heading1Char">
    <w:name w:val="Heading 1 Char"/>
    <w:aliases w:val="CA intro Heading 1 Char"/>
    <w:basedOn w:val="DefaultParagraphFont"/>
    <w:link w:val="Heading1"/>
    <w:rsid w:val="003B1C81"/>
    <w:rPr>
      <w:rFonts w:ascii="Georgia" w:eastAsiaTheme="majorEastAsia" w:hAnsi="Georgia" w:cstheme="majorBidi"/>
      <w:bCs/>
      <w:color w:val="003865"/>
      <w:sz w:val="26"/>
      <w:szCs w:val="28"/>
    </w:rPr>
  </w:style>
  <w:style w:type="character" w:customStyle="1" w:styleId="Heading2Char">
    <w:name w:val="Heading 2 Char"/>
    <w:aliases w:val="CA main paragraph heading Char"/>
    <w:basedOn w:val="DefaultParagraphFont"/>
    <w:link w:val="Heading2"/>
    <w:rsid w:val="00C10569"/>
    <w:rPr>
      <w:rFonts w:asciiTheme="majorHAnsi" w:eastAsiaTheme="majorEastAsia" w:hAnsiTheme="majorHAnsi" w:cstheme="majorBidi"/>
      <w:b/>
      <w:bCs/>
      <w:color w:val="002060"/>
      <w:szCs w:val="26"/>
    </w:rPr>
  </w:style>
  <w:style w:type="character" w:customStyle="1" w:styleId="Heading3Char">
    <w:name w:val="Heading 3 Char"/>
    <w:aliases w:val="CA main body heading Char"/>
    <w:basedOn w:val="DefaultParagraphFont"/>
    <w:link w:val="Heading3"/>
    <w:rsid w:val="00627549"/>
    <w:rPr>
      <w:rFonts w:eastAsiaTheme="majorEastAsia" w:cstheme="majorBidi"/>
      <w:bCs/>
      <w:color w:val="003865"/>
    </w:rPr>
  </w:style>
  <w:style w:type="paragraph" w:styleId="Quote">
    <w:name w:val="Quote"/>
    <w:aliases w:val="CA Quote"/>
    <w:basedOn w:val="Normal"/>
    <w:next w:val="Normal"/>
    <w:link w:val="QuoteChar"/>
    <w:uiPriority w:val="29"/>
    <w:qFormat/>
    <w:rsid w:val="00627549"/>
    <w:rPr>
      <w:rFonts w:ascii="Georgia" w:hAnsi="Georgia"/>
      <w:iCs/>
      <w:color w:val="000000" w:themeColor="text1"/>
      <w:sz w:val="24"/>
    </w:rPr>
  </w:style>
  <w:style w:type="character" w:customStyle="1" w:styleId="QuoteChar">
    <w:name w:val="Quote Char"/>
    <w:aliases w:val="CA Quote Char"/>
    <w:basedOn w:val="DefaultParagraphFont"/>
    <w:link w:val="Quote"/>
    <w:uiPriority w:val="29"/>
    <w:rsid w:val="00627549"/>
    <w:rPr>
      <w:rFonts w:ascii="Georgia" w:hAnsi="Georgia"/>
      <w:iCs/>
      <w:color w:val="000000" w:themeColor="text1"/>
      <w:sz w:val="24"/>
    </w:rPr>
  </w:style>
  <w:style w:type="paragraph" w:styleId="ListParagraph">
    <w:name w:val="List Paragraph"/>
    <w:basedOn w:val="Normal"/>
    <w:qFormat/>
    <w:rsid w:val="00B2555D"/>
    <w:pPr>
      <w:ind w:left="720"/>
      <w:contextualSpacing/>
    </w:pPr>
  </w:style>
  <w:style w:type="paragraph" w:styleId="BalloonText">
    <w:name w:val="Balloon Text"/>
    <w:basedOn w:val="Normal"/>
    <w:link w:val="BalloonTextChar"/>
    <w:unhideWhenUsed/>
    <w:rsid w:val="00B2555D"/>
    <w:rPr>
      <w:rFonts w:ascii="Tahoma" w:hAnsi="Tahoma" w:cs="Tahoma"/>
      <w:sz w:val="16"/>
      <w:szCs w:val="16"/>
    </w:rPr>
  </w:style>
  <w:style w:type="character" w:customStyle="1" w:styleId="BalloonTextChar">
    <w:name w:val="Balloon Text Char"/>
    <w:basedOn w:val="DefaultParagraphFont"/>
    <w:link w:val="BalloonText"/>
    <w:rsid w:val="006F0EA2"/>
    <w:rPr>
      <w:rFonts w:ascii="Tahoma" w:hAnsi="Tahoma" w:cs="Tahoma"/>
      <w:sz w:val="16"/>
      <w:szCs w:val="16"/>
    </w:rPr>
  </w:style>
  <w:style w:type="paragraph" w:customStyle="1" w:styleId="Pa1">
    <w:name w:val="Pa1"/>
    <w:basedOn w:val="Normal"/>
    <w:next w:val="Normal"/>
    <w:uiPriority w:val="99"/>
    <w:rsid w:val="00C94533"/>
    <w:pPr>
      <w:autoSpaceDE w:val="0"/>
      <w:autoSpaceDN w:val="0"/>
      <w:adjustRightInd w:val="0"/>
      <w:spacing w:line="241" w:lineRule="atLeast"/>
    </w:pPr>
    <w:rPr>
      <w:rFonts w:ascii="Univers LT Std 47 Cn Lt" w:hAnsi="Univers LT Std 47 Cn Lt"/>
      <w:sz w:val="24"/>
      <w:szCs w:val="24"/>
    </w:rPr>
  </w:style>
  <w:style w:type="character" w:customStyle="1" w:styleId="A17">
    <w:name w:val="A17"/>
    <w:uiPriority w:val="99"/>
    <w:rsid w:val="00C94533"/>
    <w:rPr>
      <w:rFonts w:cs="Univers LT Std 47 Cn Lt"/>
      <w:b/>
      <w:bCs/>
      <w:color w:val="000000"/>
      <w:sz w:val="16"/>
      <w:szCs w:val="16"/>
    </w:rPr>
  </w:style>
  <w:style w:type="paragraph" w:customStyle="1" w:styleId="Pa2">
    <w:name w:val="Pa2"/>
    <w:basedOn w:val="Normal"/>
    <w:next w:val="Normal"/>
    <w:uiPriority w:val="99"/>
    <w:rsid w:val="00C94533"/>
    <w:pPr>
      <w:autoSpaceDE w:val="0"/>
      <w:autoSpaceDN w:val="0"/>
      <w:adjustRightInd w:val="0"/>
      <w:spacing w:line="241" w:lineRule="atLeast"/>
    </w:pPr>
    <w:rPr>
      <w:rFonts w:ascii="Univers LT Std 47 Cn Lt" w:hAnsi="Univers LT Std 47 Cn Lt"/>
      <w:sz w:val="24"/>
      <w:szCs w:val="24"/>
    </w:rPr>
  </w:style>
  <w:style w:type="character" w:customStyle="1" w:styleId="A18">
    <w:name w:val="A18"/>
    <w:uiPriority w:val="99"/>
    <w:rsid w:val="00C94533"/>
    <w:rPr>
      <w:rFonts w:cs="Univers LT Std 47 Cn Lt"/>
      <w:color w:val="000000"/>
      <w:sz w:val="14"/>
      <w:szCs w:val="14"/>
    </w:rPr>
  </w:style>
  <w:style w:type="table" w:styleId="TableGrid">
    <w:name w:val="Table Grid"/>
    <w:basedOn w:val="TableNormal"/>
    <w:uiPriority w:val="59"/>
    <w:rsid w:val="00C94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ref">
    <w:name w:val="bibref"/>
    <w:basedOn w:val="DefaultParagraphFont"/>
    <w:rsid w:val="00DD3FC6"/>
  </w:style>
  <w:style w:type="character" w:styleId="Hyperlink">
    <w:name w:val="Hyperlink"/>
    <w:basedOn w:val="DefaultParagraphFont"/>
    <w:uiPriority w:val="99"/>
    <w:unhideWhenUsed/>
    <w:rsid w:val="00DD3FC6"/>
    <w:rPr>
      <w:color w:val="0000FF"/>
      <w:u w:val="single"/>
    </w:rPr>
  </w:style>
  <w:style w:type="paragraph" w:styleId="NormalWeb">
    <w:name w:val="Normal (Web)"/>
    <w:basedOn w:val="Normal"/>
    <w:uiPriority w:val="99"/>
    <w:unhideWhenUsed/>
    <w:rsid w:val="004A02D0"/>
    <w:pPr>
      <w:spacing w:before="100" w:beforeAutospacing="1" w:after="100" w:afterAutospacing="1"/>
    </w:pPr>
    <w:rPr>
      <w:rFonts w:ascii="Times New Roman" w:eastAsiaTheme="minorEastAsia" w:hAnsi="Times New Roman" w:cs="Times New Roman"/>
      <w:sz w:val="24"/>
      <w:szCs w:val="24"/>
      <w:lang w:eastAsia="en-GB"/>
    </w:rPr>
  </w:style>
  <w:style w:type="paragraph" w:styleId="TOCHeading">
    <w:name w:val="TOC Heading"/>
    <w:basedOn w:val="Heading1"/>
    <w:next w:val="Normal"/>
    <w:unhideWhenUsed/>
    <w:qFormat/>
    <w:rsid w:val="00B2555D"/>
    <w:pPr>
      <w:spacing w:before="480" w:after="0" w:line="276" w:lineRule="auto"/>
      <w:contextualSpacing w:val="0"/>
      <w:outlineLvl w:val="9"/>
    </w:pPr>
    <w:rPr>
      <w:rFonts w:asciiTheme="majorHAnsi" w:hAnsiTheme="majorHAnsi"/>
      <w:b/>
      <w:color w:val="A8422A" w:themeColor="accent1" w:themeShade="BF"/>
      <w:sz w:val="28"/>
      <w:lang w:val="en-US" w:eastAsia="ja-JP"/>
    </w:rPr>
  </w:style>
  <w:style w:type="paragraph" w:styleId="TOC1">
    <w:name w:val="toc 1"/>
    <w:basedOn w:val="Normal"/>
    <w:next w:val="Normal"/>
    <w:autoRedefine/>
    <w:uiPriority w:val="39"/>
    <w:unhideWhenUsed/>
    <w:rsid w:val="005C738B"/>
    <w:pPr>
      <w:spacing w:after="100"/>
    </w:pPr>
  </w:style>
  <w:style w:type="paragraph" w:styleId="TOC2">
    <w:name w:val="toc 2"/>
    <w:basedOn w:val="Normal"/>
    <w:next w:val="Normal"/>
    <w:autoRedefine/>
    <w:uiPriority w:val="39"/>
    <w:unhideWhenUsed/>
    <w:rsid w:val="005C738B"/>
    <w:pPr>
      <w:spacing w:after="100"/>
      <w:ind w:left="220"/>
    </w:pPr>
  </w:style>
  <w:style w:type="paragraph" w:styleId="TOC3">
    <w:name w:val="toc 3"/>
    <w:basedOn w:val="Normal"/>
    <w:next w:val="Normal"/>
    <w:autoRedefine/>
    <w:uiPriority w:val="39"/>
    <w:unhideWhenUsed/>
    <w:rsid w:val="005C738B"/>
    <w:pPr>
      <w:spacing w:after="100"/>
      <w:ind w:left="440"/>
    </w:pPr>
  </w:style>
  <w:style w:type="table" w:styleId="MediumShading1-Accent3">
    <w:name w:val="Medium Shading 1 Accent 3"/>
    <w:basedOn w:val="TableNormal"/>
    <w:uiPriority w:val="63"/>
    <w:rsid w:val="002B5AE4"/>
    <w:tblPr>
      <w:tblStyleRowBandSize w:val="1"/>
      <w:tblStyleColBandSize w:val="1"/>
      <w:tblBorders>
        <w:top w:val="single" w:sz="8" w:space="0" w:color="A8C1C2" w:themeColor="accent3" w:themeTint="BF"/>
        <w:left w:val="single" w:sz="8" w:space="0" w:color="A8C1C2" w:themeColor="accent3" w:themeTint="BF"/>
        <w:bottom w:val="single" w:sz="8" w:space="0" w:color="A8C1C2" w:themeColor="accent3" w:themeTint="BF"/>
        <w:right w:val="single" w:sz="8" w:space="0" w:color="A8C1C2" w:themeColor="accent3" w:themeTint="BF"/>
        <w:insideH w:val="single" w:sz="8" w:space="0" w:color="A8C1C2" w:themeColor="accent3" w:themeTint="BF"/>
      </w:tblBorders>
    </w:tblPr>
    <w:tblStylePr w:type="firstRow">
      <w:pPr>
        <w:spacing w:before="0" w:after="0" w:line="240" w:lineRule="auto"/>
      </w:pPr>
      <w:rPr>
        <w:b/>
        <w:bCs/>
        <w:color w:val="FFFFFF" w:themeColor="background1"/>
      </w:rPr>
      <w:tblPr/>
      <w:tcPr>
        <w:tcBorders>
          <w:top w:val="single" w:sz="8" w:space="0" w:color="A8C1C2" w:themeColor="accent3" w:themeTint="BF"/>
          <w:left w:val="single" w:sz="8" w:space="0" w:color="A8C1C2" w:themeColor="accent3" w:themeTint="BF"/>
          <w:bottom w:val="single" w:sz="8" w:space="0" w:color="A8C1C2" w:themeColor="accent3" w:themeTint="BF"/>
          <w:right w:val="single" w:sz="8" w:space="0" w:color="A8C1C2" w:themeColor="accent3" w:themeTint="BF"/>
          <w:insideH w:val="nil"/>
          <w:insideV w:val="nil"/>
        </w:tcBorders>
        <w:shd w:val="clear" w:color="auto" w:fill="8CADAE" w:themeFill="accent3"/>
      </w:tcPr>
    </w:tblStylePr>
    <w:tblStylePr w:type="lastRow">
      <w:pPr>
        <w:spacing w:before="0" w:after="0" w:line="240" w:lineRule="auto"/>
      </w:pPr>
      <w:rPr>
        <w:b/>
        <w:bCs/>
      </w:rPr>
      <w:tblPr/>
      <w:tcPr>
        <w:tcBorders>
          <w:top w:val="double" w:sz="6" w:space="0" w:color="A8C1C2" w:themeColor="accent3" w:themeTint="BF"/>
          <w:left w:val="single" w:sz="8" w:space="0" w:color="A8C1C2" w:themeColor="accent3" w:themeTint="BF"/>
          <w:bottom w:val="single" w:sz="8" w:space="0" w:color="A8C1C2" w:themeColor="accent3" w:themeTint="BF"/>
          <w:right w:val="single" w:sz="8" w:space="0" w:color="A8C1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AEB" w:themeFill="accent3" w:themeFillTint="3F"/>
      </w:tcPr>
    </w:tblStylePr>
    <w:tblStylePr w:type="band1Horz">
      <w:tblPr/>
      <w:tcPr>
        <w:tcBorders>
          <w:insideH w:val="nil"/>
          <w:insideV w:val="nil"/>
        </w:tcBorders>
        <w:shd w:val="clear" w:color="auto" w:fill="E2EAEB" w:themeFill="accent3" w:themeFillTint="3F"/>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193352"/>
    <w:pPr>
      <w:spacing w:after="200"/>
    </w:pPr>
    <w:rPr>
      <w:b/>
      <w:bCs/>
      <w:color w:val="D16349" w:themeColor="accent1"/>
      <w:sz w:val="18"/>
      <w:szCs w:val="18"/>
    </w:rPr>
  </w:style>
  <w:style w:type="paragraph" w:styleId="TableofFigures">
    <w:name w:val="table of figures"/>
    <w:basedOn w:val="Normal"/>
    <w:next w:val="Normal"/>
    <w:uiPriority w:val="99"/>
    <w:unhideWhenUsed/>
    <w:rsid w:val="009B36C1"/>
  </w:style>
  <w:style w:type="paragraph" w:styleId="Header">
    <w:name w:val="header"/>
    <w:basedOn w:val="Normal"/>
    <w:link w:val="HeaderChar"/>
    <w:uiPriority w:val="99"/>
    <w:unhideWhenUsed/>
    <w:rsid w:val="003D305C"/>
    <w:pPr>
      <w:tabs>
        <w:tab w:val="center" w:pos="4513"/>
        <w:tab w:val="right" w:pos="9026"/>
      </w:tabs>
    </w:pPr>
  </w:style>
  <w:style w:type="character" w:customStyle="1" w:styleId="HeaderChar">
    <w:name w:val="Header Char"/>
    <w:basedOn w:val="DefaultParagraphFont"/>
    <w:link w:val="Header"/>
    <w:uiPriority w:val="99"/>
    <w:rsid w:val="003D305C"/>
  </w:style>
  <w:style w:type="paragraph" w:styleId="Footer">
    <w:name w:val="footer"/>
    <w:basedOn w:val="Normal"/>
    <w:link w:val="FooterChar"/>
    <w:uiPriority w:val="99"/>
    <w:unhideWhenUsed/>
    <w:rsid w:val="003D305C"/>
    <w:pPr>
      <w:tabs>
        <w:tab w:val="center" w:pos="4513"/>
        <w:tab w:val="right" w:pos="9026"/>
      </w:tabs>
    </w:pPr>
  </w:style>
  <w:style w:type="character" w:customStyle="1" w:styleId="FooterChar">
    <w:name w:val="Footer Char"/>
    <w:basedOn w:val="DefaultParagraphFont"/>
    <w:link w:val="Footer"/>
    <w:uiPriority w:val="99"/>
    <w:rsid w:val="003D305C"/>
  </w:style>
  <w:style w:type="paragraph" w:styleId="NoSpacing">
    <w:name w:val="No Spacing"/>
    <w:link w:val="NoSpacingChar"/>
    <w:qFormat/>
    <w:rsid w:val="00B2555D"/>
    <w:rPr>
      <w:rFonts w:eastAsiaTheme="minorEastAsia"/>
      <w:lang w:val="en-US" w:eastAsia="ja-JP"/>
    </w:rPr>
  </w:style>
  <w:style w:type="paragraph" w:customStyle="1" w:styleId="56D88B822C3F4197905AEFF6ED9B456B">
    <w:name w:val="56D88B822C3F4197905AEFF6ED9B456B"/>
    <w:rsid w:val="003D305C"/>
    <w:pPr>
      <w:spacing w:after="200" w:line="276" w:lineRule="auto"/>
    </w:pPr>
    <w:rPr>
      <w:rFonts w:eastAsiaTheme="minorEastAsia"/>
      <w:lang w:val="en-US" w:eastAsia="ja-JP"/>
    </w:rPr>
  </w:style>
  <w:style w:type="character" w:customStyle="1" w:styleId="NoSpacingChar">
    <w:name w:val="No Spacing Char"/>
    <w:basedOn w:val="DefaultParagraphFont"/>
    <w:link w:val="NoSpacing"/>
    <w:rsid w:val="003D305C"/>
    <w:rPr>
      <w:rFonts w:eastAsiaTheme="minorEastAsia"/>
      <w:lang w:val="en-US" w:eastAsia="ja-JP"/>
    </w:rPr>
  </w:style>
  <w:style w:type="character" w:styleId="CommentReference">
    <w:name w:val="annotation reference"/>
    <w:basedOn w:val="DefaultParagraphFont"/>
    <w:uiPriority w:val="99"/>
    <w:semiHidden/>
    <w:unhideWhenUsed/>
    <w:rsid w:val="007709EA"/>
    <w:rPr>
      <w:sz w:val="16"/>
      <w:szCs w:val="16"/>
    </w:rPr>
  </w:style>
  <w:style w:type="paragraph" w:styleId="CommentText">
    <w:name w:val="annotation text"/>
    <w:basedOn w:val="Normal"/>
    <w:link w:val="CommentTextChar"/>
    <w:uiPriority w:val="99"/>
    <w:semiHidden/>
    <w:unhideWhenUsed/>
    <w:rsid w:val="007709EA"/>
    <w:rPr>
      <w:sz w:val="20"/>
      <w:szCs w:val="20"/>
    </w:rPr>
  </w:style>
  <w:style w:type="character" w:customStyle="1" w:styleId="CommentTextChar">
    <w:name w:val="Comment Text Char"/>
    <w:basedOn w:val="DefaultParagraphFont"/>
    <w:link w:val="CommentText"/>
    <w:uiPriority w:val="99"/>
    <w:semiHidden/>
    <w:rsid w:val="007709EA"/>
    <w:rPr>
      <w:sz w:val="20"/>
      <w:szCs w:val="20"/>
    </w:rPr>
  </w:style>
  <w:style w:type="paragraph" w:styleId="CommentSubject">
    <w:name w:val="annotation subject"/>
    <w:basedOn w:val="CommentText"/>
    <w:next w:val="CommentText"/>
    <w:link w:val="CommentSubjectChar"/>
    <w:uiPriority w:val="99"/>
    <w:semiHidden/>
    <w:unhideWhenUsed/>
    <w:rsid w:val="007709EA"/>
    <w:rPr>
      <w:b/>
      <w:bCs/>
    </w:rPr>
  </w:style>
  <w:style w:type="character" w:customStyle="1" w:styleId="CommentSubjectChar">
    <w:name w:val="Comment Subject Char"/>
    <w:basedOn w:val="CommentTextChar"/>
    <w:link w:val="CommentSubject"/>
    <w:uiPriority w:val="99"/>
    <w:semiHidden/>
    <w:rsid w:val="007709EA"/>
    <w:rPr>
      <w:b/>
      <w:bCs/>
      <w:sz w:val="20"/>
      <w:szCs w:val="20"/>
    </w:rPr>
  </w:style>
  <w:style w:type="paragraph" w:customStyle="1" w:styleId="Heading41">
    <w:name w:val="Heading 41"/>
    <w:next w:val="Body"/>
    <w:qFormat/>
    <w:rsid w:val="00B2555D"/>
    <w:pPr>
      <w:keepNext/>
      <w:outlineLvl w:val="3"/>
    </w:pPr>
    <w:rPr>
      <w:rFonts w:ascii="Helvetica" w:eastAsia="ヒラギノ角ゴ Pro W3" w:hAnsi="Helvetica" w:cs="Times New Roman"/>
      <w:b/>
      <w:color w:val="000000"/>
      <w:sz w:val="24"/>
      <w:szCs w:val="20"/>
      <w:lang w:val="en-US" w:eastAsia="en-GB"/>
    </w:rPr>
  </w:style>
  <w:style w:type="paragraph" w:customStyle="1" w:styleId="Heading51">
    <w:name w:val="Heading 51"/>
    <w:next w:val="Body"/>
    <w:qFormat/>
    <w:rsid w:val="00B2555D"/>
    <w:pPr>
      <w:keepNext/>
      <w:outlineLvl w:val="4"/>
    </w:pPr>
    <w:rPr>
      <w:rFonts w:ascii="Helvetica" w:eastAsia="ヒラギノ角ゴ Pro W3" w:hAnsi="Helvetica" w:cs="Times New Roman"/>
      <w:b/>
      <w:color w:val="000000"/>
      <w:sz w:val="24"/>
      <w:szCs w:val="20"/>
      <w:lang w:val="en-US" w:eastAsia="en-GB"/>
    </w:rPr>
  </w:style>
  <w:style w:type="paragraph" w:customStyle="1" w:styleId="Heading61">
    <w:name w:val="Heading 61"/>
    <w:next w:val="Body"/>
    <w:qFormat/>
    <w:rsid w:val="00B2555D"/>
    <w:pPr>
      <w:keepNext/>
      <w:outlineLvl w:val="5"/>
    </w:pPr>
    <w:rPr>
      <w:rFonts w:ascii="Helvetica" w:eastAsia="ヒラギノ角ゴ Pro W3" w:hAnsi="Helvetica" w:cs="Times New Roman"/>
      <w:b/>
      <w:color w:val="000000"/>
      <w:sz w:val="24"/>
      <w:szCs w:val="20"/>
      <w:lang w:val="en-US" w:eastAsia="en-GB"/>
    </w:rPr>
  </w:style>
  <w:style w:type="paragraph" w:customStyle="1" w:styleId="Heading71">
    <w:name w:val="Heading 71"/>
    <w:next w:val="Body"/>
    <w:qFormat/>
    <w:rsid w:val="00B2555D"/>
    <w:pPr>
      <w:keepNext/>
      <w:outlineLvl w:val="6"/>
    </w:pPr>
    <w:rPr>
      <w:rFonts w:ascii="Helvetica" w:eastAsia="ヒラギノ角ゴ Pro W3" w:hAnsi="Helvetica" w:cs="Times New Roman"/>
      <w:b/>
      <w:color w:val="000000"/>
      <w:sz w:val="24"/>
      <w:szCs w:val="20"/>
      <w:lang w:val="en-US" w:eastAsia="en-GB"/>
    </w:rPr>
  </w:style>
  <w:style w:type="paragraph" w:customStyle="1" w:styleId="Heading81">
    <w:name w:val="Heading 81"/>
    <w:next w:val="Body"/>
    <w:qFormat/>
    <w:rsid w:val="00B2555D"/>
    <w:pPr>
      <w:keepNext/>
      <w:outlineLvl w:val="7"/>
    </w:pPr>
    <w:rPr>
      <w:rFonts w:ascii="Helvetica" w:eastAsia="ヒラギノ角ゴ Pro W3" w:hAnsi="Helvetica" w:cs="Times New Roman"/>
      <w:b/>
      <w:color w:val="000000"/>
      <w:sz w:val="24"/>
      <w:szCs w:val="20"/>
      <w:lang w:val="en-US" w:eastAsia="en-GB"/>
    </w:rPr>
  </w:style>
  <w:style w:type="paragraph" w:customStyle="1" w:styleId="Heading91">
    <w:name w:val="Heading 91"/>
    <w:next w:val="Body"/>
    <w:qFormat/>
    <w:rsid w:val="00B2555D"/>
    <w:pPr>
      <w:keepNext/>
      <w:outlineLvl w:val="8"/>
    </w:pPr>
    <w:rPr>
      <w:rFonts w:ascii="Helvetica" w:eastAsia="ヒラギノ角ゴ Pro W3" w:hAnsi="Helvetica" w:cs="Times New Roman"/>
      <w:b/>
      <w:color w:val="000000"/>
      <w:sz w:val="24"/>
      <w:szCs w:val="20"/>
      <w:lang w:val="en-US" w:eastAsia="en-GB"/>
    </w:rPr>
  </w:style>
  <w:style w:type="paragraph" w:customStyle="1" w:styleId="Header1">
    <w:name w:val="Header1"/>
    <w:rsid w:val="00B2555D"/>
    <w:pPr>
      <w:tabs>
        <w:tab w:val="center" w:pos="4513"/>
        <w:tab w:val="right" w:pos="9026"/>
      </w:tabs>
    </w:pPr>
    <w:rPr>
      <w:rFonts w:ascii="Verdana" w:eastAsia="ヒラギノ角ゴ Pro W3" w:hAnsi="Verdana" w:cs="Times New Roman"/>
      <w:color w:val="000000"/>
      <w:szCs w:val="20"/>
      <w:lang w:eastAsia="en-GB"/>
    </w:rPr>
  </w:style>
  <w:style w:type="paragraph" w:customStyle="1" w:styleId="Footer1">
    <w:name w:val="Footer1"/>
    <w:rsid w:val="00B2555D"/>
    <w:pPr>
      <w:tabs>
        <w:tab w:val="center" w:pos="4513"/>
        <w:tab w:val="right" w:pos="9026"/>
      </w:tabs>
    </w:pPr>
    <w:rPr>
      <w:rFonts w:ascii="Verdana" w:eastAsia="ヒラギノ角ゴ Pro W3" w:hAnsi="Verdana" w:cs="Times New Roman"/>
      <w:color w:val="000000"/>
      <w:szCs w:val="20"/>
      <w:lang w:eastAsia="en-GB"/>
    </w:rPr>
  </w:style>
  <w:style w:type="paragraph" w:customStyle="1" w:styleId="FreeForm">
    <w:name w:val="Free Form"/>
    <w:rsid w:val="00B2555D"/>
    <w:rPr>
      <w:rFonts w:ascii="Verdana" w:eastAsia="ヒラギノ角ゴ Pro W3" w:hAnsi="Verdana" w:cs="Times New Roman"/>
      <w:color w:val="000000"/>
      <w:szCs w:val="20"/>
      <w:lang w:eastAsia="en-GB"/>
    </w:rPr>
  </w:style>
  <w:style w:type="paragraph" w:customStyle="1" w:styleId="TOC11">
    <w:name w:val="TOC 11"/>
    <w:rsid w:val="00B2555D"/>
    <w:pPr>
      <w:tabs>
        <w:tab w:val="right" w:leader="dot" w:pos="9064"/>
      </w:tabs>
      <w:spacing w:before="240"/>
      <w:ind w:left="720"/>
      <w:outlineLvl w:val="0"/>
    </w:pPr>
    <w:rPr>
      <w:rFonts w:ascii="Helvetica" w:eastAsia="ヒラギノ角ゴ Pro W3" w:hAnsi="Helvetica" w:cs="Times New Roman"/>
      <w:b/>
      <w:i/>
      <w:color w:val="000000"/>
      <w:sz w:val="24"/>
      <w:szCs w:val="20"/>
      <w:lang w:val="en-US" w:eastAsia="en-GB"/>
    </w:rPr>
  </w:style>
  <w:style w:type="paragraph" w:customStyle="1" w:styleId="TOC21">
    <w:name w:val="TOC 21"/>
    <w:basedOn w:val="TOC22"/>
    <w:next w:val="Normal"/>
    <w:autoRedefine/>
    <w:rsid w:val="00B2555D"/>
    <w:pPr>
      <w:tabs>
        <w:tab w:val="clear" w:pos="9054"/>
        <w:tab w:val="right" w:leader="dot" w:pos="9044"/>
      </w:tabs>
    </w:pPr>
  </w:style>
  <w:style w:type="paragraph" w:customStyle="1" w:styleId="TOC22">
    <w:name w:val="TOC 22"/>
    <w:next w:val="Normal"/>
    <w:rsid w:val="00B2555D"/>
    <w:pPr>
      <w:tabs>
        <w:tab w:val="right" w:leader="dot" w:pos="9054"/>
      </w:tabs>
      <w:spacing w:after="100"/>
      <w:ind w:left="220"/>
      <w:outlineLvl w:val="0"/>
    </w:pPr>
    <w:rPr>
      <w:rFonts w:ascii="Verdana" w:eastAsia="ヒラギノ角ゴ Pro W3" w:hAnsi="Verdana" w:cs="Times New Roman"/>
      <w:color w:val="000000"/>
      <w:szCs w:val="20"/>
      <w:lang w:eastAsia="en-GB"/>
    </w:rPr>
  </w:style>
  <w:style w:type="paragraph" w:customStyle="1" w:styleId="TOC31">
    <w:name w:val="TOC 31"/>
    <w:basedOn w:val="TOC32"/>
    <w:next w:val="Normal"/>
    <w:rsid w:val="00B2555D"/>
    <w:pPr>
      <w:tabs>
        <w:tab w:val="clear" w:pos="9054"/>
        <w:tab w:val="right" w:leader="dot" w:pos="9044"/>
      </w:tabs>
    </w:pPr>
  </w:style>
  <w:style w:type="paragraph" w:customStyle="1" w:styleId="TOC32">
    <w:name w:val="TOC 32"/>
    <w:next w:val="Normal"/>
    <w:rsid w:val="00B2555D"/>
    <w:pPr>
      <w:tabs>
        <w:tab w:val="right" w:leader="dot" w:pos="9054"/>
      </w:tabs>
      <w:spacing w:after="100"/>
      <w:ind w:left="440"/>
      <w:outlineLvl w:val="0"/>
    </w:pPr>
    <w:rPr>
      <w:rFonts w:ascii="Verdana" w:eastAsia="ヒラギノ角ゴ Pro W3" w:hAnsi="Verdana" w:cs="Times New Roman"/>
      <w:color w:val="000000"/>
      <w:szCs w:val="20"/>
      <w:lang w:eastAsia="en-GB"/>
    </w:rPr>
  </w:style>
  <w:style w:type="paragraph" w:customStyle="1" w:styleId="TOC41">
    <w:name w:val="TOC 41"/>
    <w:rsid w:val="00B2555D"/>
    <w:pPr>
      <w:tabs>
        <w:tab w:val="right" w:leader="dot" w:pos="9064"/>
      </w:tabs>
      <w:spacing w:before="240" w:after="60"/>
      <w:ind w:left="360"/>
      <w:outlineLvl w:val="0"/>
    </w:pPr>
    <w:rPr>
      <w:rFonts w:ascii="Helvetica" w:eastAsia="ヒラギノ角ゴ Pro W3" w:hAnsi="Helvetica" w:cs="Times New Roman"/>
      <w:b/>
      <w:color w:val="000000"/>
      <w:sz w:val="28"/>
      <w:szCs w:val="20"/>
      <w:lang w:val="en-US" w:eastAsia="en-GB"/>
    </w:rPr>
  </w:style>
  <w:style w:type="paragraph" w:customStyle="1" w:styleId="TOC51">
    <w:name w:val="TOC 51"/>
    <w:rsid w:val="00B2555D"/>
    <w:pPr>
      <w:tabs>
        <w:tab w:val="right" w:leader="dot" w:pos="9064"/>
      </w:tabs>
      <w:spacing w:before="240" w:after="60"/>
      <w:outlineLvl w:val="0"/>
    </w:pPr>
    <w:rPr>
      <w:rFonts w:ascii="Helvetica" w:eastAsia="ヒラギノ角ゴ Pro W3" w:hAnsi="Helvetica" w:cs="Times New Roman"/>
      <w:b/>
      <w:color w:val="000000"/>
      <w:sz w:val="36"/>
      <w:szCs w:val="20"/>
      <w:lang w:val="en-US" w:eastAsia="en-GB"/>
    </w:rPr>
  </w:style>
  <w:style w:type="paragraph" w:customStyle="1" w:styleId="TOC61">
    <w:name w:val="TOC 61"/>
    <w:basedOn w:val="TOC12"/>
    <w:next w:val="Normal"/>
    <w:rsid w:val="00B2555D"/>
    <w:pPr>
      <w:tabs>
        <w:tab w:val="clear" w:pos="9054"/>
        <w:tab w:val="right" w:leader="dot" w:pos="9044"/>
      </w:tabs>
    </w:pPr>
  </w:style>
  <w:style w:type="paragraph" w:customStyle="1" w:styleId="TOC12">
    <w:name w:val="TOC 12"/>
    <w:next w:val="Normal"/>
    <w:rsid w:val="00B2555D"/>
    <w:pPr>
      <w:tabs>
        <w:tab w:val="right" w:leader="dot" w:pos="9054"/>
      </w:tabs>
      <w:spacing w:after="100"/>
      <w:outlineLvl w:val="0"/>
    </w:pPr>
    <w:rPr>
      <w:rFonts w:ascii="Verdana" w:eastAsia="ヒラギノ角ゴ Pro W3" w:hAnsi="Verdana" w:cs="Times New Roman"/>
      <w:color w:val="000000"/>
      <w:szCs w:val="20"/>
      <w:lang w:eastAsia="en-GB"/>
    </w:rPr>
  </w:style>
  <w:style w:type="paragraph" w:customStyle="1" w:styleId="Title1">
    <w:name w:val="Title1"/>
    <w:next w:val="Body"/>
    <w:rsid w:val="00B2555D"/>
    <w:pPr>
      <w:keepNext/>
      <w:outlineLvl w:val="0"/>
    </w:pPr>
    <w:rPr>
      <w:rFonts w:ascii="Helvetica" w:eastAsia="ヒラギノ角ゴ Pro W3" w:hAnsi="Helvetica" w:cs="Times New Roman"/>
      <w:b/>
      <w:color w:val="000000"/>
      <w:sz w:val="56"/>
      <w:szCs w:val="20"/>
      <w:lang w:val="en-US" w:eastAsia="en-GB"/>
    </w:rPr>
  </w:style>
  <w:style w:type="paragraph" w:customStyle="1" w:styleId="Body">
    <w:name w:val="Body"/>
    <w:rsid w:val="00B2555D"/>
    <w:rPr>
      <w:rFonts w:ascii="Helvetica" w:eastAsia="ヒラギノ角ゴ Pro W3" w:hAnsi="Helvetica" w:cs="Times New Roman"/>
      <w:color w:val="000000"/>
      <w:sz w:val="24"/>
      <w:szCs w:val="20"/>
      <w:lang w:val="en-US" w:eastAsia="en-GB"/>
    </w:rPr>
  </w:style>
  <w:style w:type="paragraph" w:customStyle="1" w:styleId="Heading31">
    <w:name w:val="Heading 31"/>
    <w:next w:val="Normal"/>
    <w:rsid w:val="00B2555D"/>
    <w:pPr>
      <w:keepNext/>
      <w:keepLines/>
      <w:spacing w:before="200"/>
      <w:outlineLvl w:val="2"/>
    </w:pPr>
    <w:rPr>
      <w:rFonts w:ascii="Verdana" w:eastAsia="ヒラギノ角ゴ Pro W3" w:hAnsi="Verdana" w:cs="Times New Roman"/>
      <w:color w:val="082755"/>
      <w:szCs w:val="20"/>
      <w:lang w:eastAsia="en-GB"/>
    </w:rPr>
  </w:style>
  <w:style w:type="paragraph" w:customStyle="1" w:styleId="Heading21">
    <w:name w:val="Heading 21"/>
    <w:next w:val="Normal"/>
    <w:autoRedefine/>
    <w:rsid w:val="00B2555D"/>
    <w:pPr>
      <w:keepNext/>
      <w:keepLines/>
      <w:spacing w:before="200" w:after="240"/>
      <w:outlineLvl w:val="1"/>
    </w:pPr>
    <w:rPr>
      <w:rFonts w:ascii="Verdana Bold" w:eastAsia="ヒラギノ角ゴ Pro W3" w:hAnsi="Verdana Bold" w:cs="Times New Roman"/>
      <w:color w:val="031251"/>
      <w:szCs w:val="20"/>
      <w:lang w:eastAsia="en-GB"/>
    </w:rPr>
  </w:style>
  <w:style w:type="paragraph" w:customStyle="1" w:styleId="Heading11">
    <w:name w:val="Heading 11"/>
    <w:next w:val="Normal"/>
    <w:rsid w:val="00B2555D"/>
    <w:pPr>
      <w:keepNext/>
      <w:keepLines/>
      <w:spacing w:before="240" w:after="240"/>
      <w:outlineLvl w:val="0"/>
    </w:pPr>
    <w:rPr>
      <w:rFonts w:ascii="Georgia" w:eastAsia="ヒラギノ角ゴ Pro W3" w:hAnsi="Georgia" w:cs="Times New Roman"/>
      <w:color w:val="082755"/>
      <w:sz w:val="26"/>
      <w:szCs w:val="20"/>
      <w:lang w:eastAsia="en-GB"/>
    </w:rPr>
  </w:style>
  <w:style w:type="paragraph" w:customStyle="1" w:styleId="TableofFigures1">
    <w:name w:val="Table of Figures1"/>
    <w:next w:val="Normal"/>
    <w:rsid w:val="00B2555D"/>
    <w:rPr>
      <w:rFonts w:ascii="Verdana" w:eastAsia="ヒラギノ角ゴ Pro W3" w:hAnsi="Verdana" w:cs="Times New Roman"/>
      <w:color w:val="000000"/>
      <w:szCs w:val="20"/>
      <w:lang w:eastAsia="en-GB"/>
    </w:rPr>
  </w:style>
  <w:style w:type="character" w:customStyle="1" w:styleId="Hyperlink1">
    <w:name w:val="Hyperlink1"/>
    <w:autoRedefine/>
    <w:rsid w:val="00B2555D"/>
    <w:rPr>
      <w:color w:val="0000FF"/>
      <w:sz w:val="22"/>
      <w:u w:val="single"/>
    </w:rPr>
  </w:style>
  <w:style w:type="paragraph" w:customStyle="1" w:styleId="CommentText1">
    <w:name w:val="Comment Text1"/>
    <w:rsid w:val="00B2555D"/>
    <w:rPr>
      <w:rFonts w:ascii="Verdana" w:eastAsia="ヒラギノ角ゴ Pro W3" w:hAnsi="Verdana" w:cs="Times New Roman"/>
      <w:color w:val="000000"/>
      <w:sz w:val="20"/>
      <w:szCs w:val="20"/>
      <w:lang w:eastAsia="en-GB"/>
    </w:rPr>
  </w:style>
  <w:style w:type="numbering" w:customStyle="1" w:styleId="Bullet">
    <w:name w:val="Bullet"/>
    <w:rsid w:val="00B2555D"/>
  </w:style>
  <w:style w:type="paragraph" w:customStyle="1" w:styleId="Caption1">
    <w:name w:val="Caption1"/>
    <w:next w:val="Normal"/>
    <w:rsid w:val="00B2555D"/>
    <w:pPr>
      <w:spacing w:after="200"/>
    </w:pPr>
    <w:rPr>
      <w:rFonts w:ascii="Verdana Bold" w:eastAsia="ヒラギノ角ゴ Pro W3" w:hAnsi="Verdana Bold" w:cs="Times New Roman"/>
      <w:color w:val="C04F33"/>
      <w:sz w:val="18"/>
      <w:szCs w:val="20"/>
      <w:lang w:eastAsia="en-GB"/>
    </w:rPr>
  </w:style>
  <w:style w:type="paragraph" w:customStyle="1" w:styleId="TableGrid1">
    <w:name w:val="Table Grid1"/>
    <w:rsid w:val="00B2555D"/>
    <w:rPr>
      <w:rFonts w:ascii="Verdana" w:eastAsia="ヒラギノ角ゴ Pro W3" w:hAnsi="Verdana" w:cs="Times New Roman"/>
      <w:color w:val="000000"/>
      <w:szCs w:val="20"/>
      <w:lang w:eastAsia="en-GB"/>
    </w:rPr>
  </w:style>
  <w:style w:type="numbering" w:customStyle="1" w:styleId="List11">
    <w:name w:val="List 11"/>
    <w:autoRedefine/>
    <w:rsid w:val="00B2555D"/>
  </w:style>
  <w:style w:type="paragraph" w:customStyle="1" w:styleId="MediumShading1-Accent31">
    <w:name w:val="Medium Shading 1 - Accent 31"/>
    <w:rsid w:val="00B2555D"/>
    <w:rPr>
      <w:rFonts w:ascii="Verdana" w:eastAsia="ヒラギノ角ゴ Pro W3" w:hAnsi="Verdana" w:cs="Times New Roman"/>
      <w:color w:val="000000"/>
      <w:szCs w:val="20"/>
      <w:lang w:eastAsia="en-GB"/>
    </w:rPr>
  </w:style>
  <w:style w:type="numbering" w:customStyle="1" w:styleId="List13">
    <w:name w:val="List 13"/>
    <w:rsid w:val="00B2555D"/>
  </w:style>
  <w:style w:type="character" w:customStyle="1" w:styleId="CommentReference1">
    <w:name w:val="Comment Reference1"/>
    <w:rsid w:val="00B2555D"/>
    <w:rPr>
      <w:color w:val="000000"/>
      <w:sz w:val="16"/>
    </w:rPr>
  </w:style>
  <w:style w:type="paragraph" w:customStyle="1" w:styleId="NormalWeb1">
    <w:name w:val="Normal (Web)1"/>
    <w:rsid w:val="00B2555D"/>
    <w:pPr>
      <w:spacing w:before="100" w:after="100"/>
    </w:pPr>
    <w:rPr>
      <w:rFonts w:ascii="Times New Roman" w:eastAsia="ヒラギノ角ゴ Pro W3" w:hAnsi="Times New Roman" w:cs="Times New Roman"/>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1214">
      <w:bodyDiv w:val="1"/>
      <w:marLeft w:val="0"/>
      <w:marRight w:val="0"/>
      <w:marTop w:val="0"/>
      <w:marBottom w:val="0"/>
      <w:divBdr>
        <w:top w:val="none" w:sz="0" w:space="0" w:color="auto"/>
        <w:left w:val="none" w:sz="0" w:space="0" w:color="auto"/>
        <w:bottom w:val="none" w:sz="0" w:space="0" w:color="auto"/>
        <w:right w:val="none" w:sz="0" w:space="0" w:color="auto"/>
      </w:divBdr>
    </w:div>
    <w:div w:id="71005036">
      <w:bodyDiv w:val="1"/>
      <w:marLeft w:val="0"/>
      <w:marRight w:val="0"/>
      <w:marTop w:val="0"/>
      <w:marBottom w:val="0"/>
      <w:divBdr>
        <w:top w:val="none" w:sz="0" w:space="0" w:color="auto"/>
        <w:left w:val="none" w:sz="0" w:space="0" w:color="auto"/>
        <w:bottom w:val="none" w:sz="0" w:space="0" w:color="auto"/>
        <w:right w:val="none" w:sz="0" w:space="0" w:color="auto"/>
      </w:divBdr>
    </w:div>
    <w:div w:id="223877717">
      <w:bodyDiv w:val="1"/>
      <w:marLeft w:val="0"/>
      <w:marRight w:val="0"/>
      <w:marTop w:val="0"/>
      <w:marBottom w:val="0"/>
      <w:divBdr>
        <w:top w:val="none" w:sz="0" w:space="0" w:color="auto"/>
        <w:left w:val="none" w:sz="0" w:space="0" w:color="auto"/>
        <w:bottom w:val="none" w:sz="0" w:space="0" w:color="auto"/>
        <w:right w:val="none" w:sz="0" w:space="0" w:color="auto"/>
      </w:divBdr>
      <w:divsChild>
        <w:div w:id="1457139969">
          <w:marLeft w:val="0"/>
          <w:marRight w:val="0"/>
          <w:marTop w:val="0"/>
          <w:marBottom w:val="0"/>
          <w:divBdr>
            <w:top w:val="none" w:sz="0" w:space="0" w:color="auto"/>
            <w:left w:val="none" w:sz="0" w:space="0" w:color="auto"/>
            <w:bottom w:val="none" w:sz="0" w:space="0" w:color="auto"/>
            <w:right w:val="none" w:sz="0" w:space="0" w:color="auto"/>
          </w:divBdr>
        </w:div>
      </w:divsChild>
    </w:div>
    <w:div w:id="293105108">
      <w:bodyDiv w:val="1"/>
      <w:marLeft w:val="0"/>
      <w:marRight w:val="0"/>
      <w:marTop w:val="0"/>
      <w:marBottom w:val="0"/>
      <w:divBdr>
        <w:top w:val="none" w:sz="0" w:space="0" w:color="auto"/>
        <w:left w:val="none" w:sz="0" w:space="0" w:color="auto"/>
        <w:bottom w:val="none" w:sz="0" w:space="0" w:color="auto"/>
        <w:right w:val="none" w:sz="0" w:space="0" w:color="auto"/>
      </w:divBdr>
      <w:divsChild>
        <w:div w:id="1624917991">
          <w:marLeft w:val="0"/>
          <w:marRight w:val="0"/>
          <w:marTop w:val="0"/>
          <w:marBottom w:val="0"/>
          <w:divBdr>
            <w:top w:val="none" w:sz="0" w:space="0" w:color="auto"/>
            <w:left w:val="none" w:sz="0" w:space="0" w:color="auto"/>
            <w:bottom w:val="none" w:sz="0" w:space="0" w:color="auto"/>
            <w:right w:val="none" w:sz="0" w:space="0" w:color="auto"/>
          </w:divBdr>
          <w:divsChild>
            <w:div w:id="2049137546">
              <w:marLeft w:val="0"/>
              <w:marRight w:val="0"/>
              <w:marTop w:val="0"/>
              <w:marBottom w:val="0"/>
              <w:divBdr>
                <w:top w:val="none" w:sz="0" w:space="0" w:color="auto"/>
                <w:left w:val="none" w:sz="0" w:space="0" w:color="auto"/>
                <w:bottom w:val="none" w:sz="0" w:space="0" w:color="auto"/>
                <w:right w:val="none" w:sz="0" w:space="0" w:color="auto"/>
              </w:divBdr>
              <w:divsChild>
                <w:div w:id="591088417">
                  <w:marLeft w:val="0"/>
                  <w:marRight w:val="0"/>
                  <w:marTop w:val="0"/>
                  <w:marBottom w:val="0"/>
                  <w:divBdr>
                    <w:top w:val="none" w:sz="0" w:space="0" w:color="auto"/>
                    <w:left w:val="none" w:sz="0" w:space="0" w:color="auto"/>
                    <w:bottom w:val="none" w:sz="0" w:space="0" w:color="auto"/>
                    <w:right w:val="none" w:sz="0" w:space="0" w:color="auto"/>
                  </w:divBdr>
                  <w:divsChild>
                    <w:div w:id="612177079">
                      <w:marLeft w:val="0"/>
                      <w:marRight w:val="0"/>
                      <w:marTop w:val="0"/>
                      <w:marBottom w:val="0"/>
                      <w:divBdr>
                        <w:top w:val="none" w:sz="0" w:space="0" w:color="auto"/>
                        <w:left w:val="none" w:sz="0" w:space="0" w:color="auto"/>
                        <w:bottom w:val="none" w:sz="0" w:space="0" w:color="auto"/>
                        <w:right w:val="none" w:sz="0" w:space="0" w:color="auto"/>
                      </w:divBdr>
                      <w:divsChild>
                        <w:div w:id="1530485961">
                          <w:marLeft w:val="0"/>
                          <w:marRight w:val="0"/>
                          <w:marTop w:val="0"/>
                          <w:marBottom w:val="0"/>
                          <w:divBdr>
                            <w:top w:val="none" w:sz="0" w:space="0" w:color="auto"/>
                            <w:left w:val="none" w:sz="0" w:space="0" w:color="auto"/>
                            <w:bottom w:val="none" w:sz="0" w:space="0" w:color="auto"/>
                            <w:right w:val="none" w:sz="0" w:space="0" w:color="auto"/>
                          </w:divBdr>
                          <w:divsChild>
                            <w:div w:id="1921863616">
                              <w:marLeft w:val="0"/>
                              <w:marRight w:val="0"/>
                              <w:marTop w:val="0"/>
                              <w:marBottom w:val="0"/>
                              <w:divBdr>
                                <w:top w:val="none" w:sz="0" w:space="0" w:color="auto"/>
                                <w:left w:val="none" w:sz="0" w:space="0" w:color="auto"/>
                                <w:bottom w:val="none" w:sz="0" w:space="0" w:color="auto"/>
                                <w:right w:val="none" w:sz="0" w:space="0" w:color="auto"/>
                              </w:divBdr>
                              <w:divsChild>
                                <w:div w:id="1391804172">
                                  <w:marLeft w:val="0"/>
                                  <w:marRight w:val="0"/>
                                  <w:marTop w:val="0"/>
                                  <w:marBottom w:val="0"/>
                                  <w:divBdr>
                                    <w:top w:val="none" w:sz="0" w:space="0" w:color="auto"/>
                                    <w:left w:val="none" w:sz="0" w:space="0" w:color="auto"/>
                                    <w:bottom w:val="none" w:sz="0" w:space="0" w:color="auto"/>
                                    <w:right w:val="none" w:sz="0" w:space="0" w:color="auto"/>
                                  </w:divBdr>
                                  <w:divsChild>
                                    <w:div w:id="598375146">
                                      <w:marLeft w:val="0"/>
                                      <w:marRight w:val="0"/>
                                      <w:marTop w:val="0"/>
                                      <w:marBottom w:val="0"/>
                                      <w:divBdr>
                                        <w:top w:val="none" w:sz="0" w:space="0" w:color="auto"/>
                                        <w:left w:val="none" w:sz="0" w:space="0" w:color="auto"/>
                                        <w:bottom w:val="none" w:sz="0" w:space="0" w:color="auto"/>
                                        <w:right w:val="none" w:sz="0" w:space="0" w:color="auto"/>
                                      </w:divBdr>
                                      <w:divsChild>
                                        <w:div w:id="725378991">
                                          <w:marLeft w:val="0"/>
                                          <w:marRight w:val="0"/>
                                          <w:marTop w:val="0"/>
                                          <w:marBottom w:val="0"/>
                                          <w:divBdr>
                                            <w:top w:val="none" w:sz="0" w:space="0" w:color="auto"/>
                                            <w:left w:val="none" w:sz="0" w:space="0" w:color="auto"/>
                                            <w:bottom w:val="none" w:sz="0" w:space="0" w:color="auto"/>
                                            <w:right w:val="none" w:sz="0" w:space="0" w:color="auto"/>
                                          </w:divBdr>
                                          <w:divsChild>
                                            <w:div w:id="624845834">
                                              <w:marLeft w:val="0"/>
                                              <w:marRight w:val="0"/>
                                              <w:marTop w:val="0"/>
                                              <w:marBottom w:val="0"/>
                                              <w:divBdr>
                                                <w:top w:val="none" w:sz="0" w:space="0" w:color="auto"/>
                                                <w:left w:val="none" w:sz="0" w:space="0" w:color="auto"/>
                                                <w:bottom w:val="none" w:sz="0" w:space="0" w:color="auto"/>
                                                <w:right w:val="none" w:sz="0" w:space="0" w:color="auto"/>
                                              </w:divBdr>
                                              <w:divsChild>
                                                <w:div w:id="640383281">
                                                  <w:marLeft w:val="0"/>
                                                  <w:marRight w:val="0"/>
                                                  <w:marTop w:val="0"/>
                                                  <w:marBottom w:val="0"/>
                                                  <w:divBdr>
                                                    <w:top w:val="none" w:sz="0" w:space="0" w:color="auto"/>
                                                    <w:left w:val="none" w:sz="0" w:space="0" w:color="auto"/>
                                                    <w:bottom w:val="none" w:sz="0" w:space="0" w:color="auto"/>
                                                    <w:right w:val="none" w:sz="0" w:space="0" w:color="auto"/>
                                                  </w:divBdr>
                                                  <w:divsChild>
                                                    <w:div w:id="1143279484">
                                                      <w:marLeft w:val="0"/>
                                                      <w:marRight w:val="0"/>
                                                      <w:marTop w:val="0"/>
                                                      <w:marBottom w:val="0"/>
                                                      <w:divBdr>
                                                        <w:top w:val="none" w:sz="0" w:space="0" w:color="auto"/>
                                                        <w:left w:val="none" w:sz="0" w:space="0" w:color="auto"/>
                                                        <w:bottom w:val="none" w:sz="0" w:space="0" w:color="auto"/>
                                                        <w:right w:val="none" w:sz="0" w:space="0" w:color="auto"/>
                                                      </w:divBdr>
                                                      <w:divsChild>
                                                        <w:div w:id="408037733">
                                                          <w:marLeft w:val="0"/>
                                                          <w:marRight w:val="0"/>
                                                          <w:marTop w:val="0"/>
                                                          <w:marBottom w:val="0"/>
                                                          <w:divBdr>
                                                            <w:top w:val="none" w:sz="0" w:space="0" w:color="auto"/>
                                                            <w:left w:val="none" w:sz="0" w:space="0" w:color="auto"/>
                                                            <w:bottom w:val="none" w:sz="0" w:space="0" w:color="auto"/>
                                                            <w:right w:val="none" w:sz="0" w:space="0" w:color="auto"/>
                                                          </w:divBdr>
                                                          <w:divsChild>
                                                            <w:div w:id="2081362274">
                                                              <w:marLeft w:val="0"/>
                                                              <w:marRight w:val="0"/>
                                                              <w:marTop w:val="0"/>
                                                              <w:marBottom w:val="0"/>
                                                              <w:divBdr>
                                                                <w:top w:val="none" w:sz="0" w:space="0" w:color="auto"/>
                                                                <w:left w:val="none" w:sz="0" w:space="0" w:color="auto"/>
                                                                <w:bottom w:val="none" w:sz="0" w:space="0" w:color="auto"/>
                                                                <w:right w:val="none" w:sz="0" w:space="0" w:color="auto"/>
                                                              </w:divBdr>
                                                              <w:divsChild>
                                                                <w:div w:id="1853648077">
                                                                  <w:marLeft w:val="0"/>
                                                                  <w:marRight w:val="0"/>
                                                                  <w:marTop w:val="0"/>
                                                                  <w:marBottom w:val="0"/>
                                                                  <w:divBdr>
                                                                    <w:top w:val="none" w:sz="0" w:space="0" w:color="auto"/>
                                                                    <w:left w:val="none" w:sz="0" w:space="0" w:color="auto"/>
                                                                    <w:bottom w:val="none" w:sz="0" w:space="0" w:color="auto"/>
                                                                    <w:right w:val="none" w:sz="0" w:space="0" w:color="auto"/>
                                                                  </w:divBdr>
                                                                  <w:divsChild>
                                                                    <w:div w:id="225801709">
                                                                      <w:marLeft w:val="0"/>
                                                                      <w:marRight w:val="0"/>
                                                                      <w:marTop w:val="0"/>
                                                                      <w:marBottom w:val="0"/>
                                                                      <w:divBdr>
                                                                        <w:top w:val="none" w:sz="0" w:space="0" w:color="auto"/>
                                                                        <w:left w:val="none" w:sz="0" w:space="0" w:color="auto"/>
                                                                        <w:bottom w:val="none" w:sz="0" w:space="0" w:color="auto"/>
                                                                        <w:right w:val="none" w:sz="0" w:space="0" w:color="auto"/>
                                                                      </w:divBdr>
                                                                      <w:divsChild>
                                                                        <w:div w:id="14236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360078">
      <w:bodyDiv w:val="1"/>
      <w:marLeft w:val="0"/>
      <w:marRight w:val="0"/>
      <w:marTop w:val="0"/>
      <w:marBottom w:val="0"/>
      <w:divBdr>
        <w:top w:val="none" w:sz="0" w:space="0" w:color="auto"/>
        <w:left w:val="none" w:sz="0" w:space="0" w:color="auto"/>
        <w:bottom w:val="none" w:sz="0" w:space="0" w:color="auto"/>
        <w:right w:val="none" w:sz="0" w:space="0" w:color="auto"/>
      </w:divBdr>
    </w:div>
    <w:div w:id="403798371">
      <w:bodyDiv w:val="1"/>
      <w:marLeft w:val="0"/>
      <w:marRight w:val="0"/>
      <w:marTop w:val="0"/>
      <w:marBottom w:val="0"/>
      <w:divBdr>
        <w:top w:val="none" w:sz="0" w:space="0" w:color="auto"/>
        <w:left w:val="none" w:sz="0" w:space="0" w:color="auto"/>
        <w:bottom w:val="none" w:sz="0" w:space="0" w:color="auto"/>
        <w:right w:val="none" w:sz="0" w:space="0" w:color="auto"/>
      </w:divBdr>
    </w:div>
    <w:div w:id="475150827">
      <w:bodyDiv w:val="1"/>
      <w:marLeft w:val="0"/>
      <w:marRight w:val="0"/>
      <w:marTop w:val="0"/>
      <w:marBottom w:val="0"/>
      <w:divBdr>
        <w:top w:val="none" w:sz="0" w:space="0" w:color="auto"/>
        <w:left w:val="none" w:sz="0" w:space="0" w:color="auto"/>
        <w:bottom w:val="none" w:sz="0" w:space="0" w:color="auto"/>
        <w:right w:val="none" w:sz="0" w:space="0" w:color="auto"/>
      </w:divBdr>
    </w:div>
    <w:div w:id="764501454">
      <w:bodyDiv w:val="1"/>
      <w:marLeft w:val="0"/>
      <w:marRight w:val="0"/>
      <w:marTop w:val="0"/>
      <w:marBottom w:val="0"/>
      <w:divBdr>
        <w:top w:val="none" w:sz="0" w:space="0" w:color="auto"/>
        <w:left w:val="none" w:sz="0" w:space="0" w:color="auto"/>
        <w:bottom w:val="none" w:sz="0" w:space="0" w:color="auto"/>
        <w:right w:val="none" w:sz="0" w:space="0" w:color="auto"/>
      </w:divBdr>
    </w:div>
    <w:div w:id="856239201">
      <w:bodyDiv w:val="1"/>
      <w:marLeft w:val="0"/>
      <w:marRight w:val="0"/>
      <w:marTop w:val="0"/>
      <w:marBottom w:val="0"/>
      <w:divBdr>
        <w:top w:val="none" w:sz="0" w:space="0" w:color="auto"/>
        <w:left w:val="none" w:sz="0" w:space="0" w:color="auto"/>
        <w:bottom w:val="none" w:sz="0" w:space="0" w:color="auto"/>
        <w:right w:val="none" w:sz="0" w:space="0" w:color="auto"/>
      </w:divBdr>
    </w:div>
    <w:div w:id="1324897333">
      <w:bodyDiv w:val="1"/>
      <w:marLeft w:val="0"/>
      <w:marRight w:val="0"/>
      <w:marTop w:val="0"/>
      <w:marBottom w:val="0"/>
      <w:divBdr>
        <w:top w:val="none" w:sz="0" w:space="0" w:color="auto"/>
        <w:left w:val="none" w:sz="0" w:space="0" w:color="auto"/>
        <w:bottom w:val="none" w:sz="0" w:space="0" w:color="auto"/>
        <w:right w:val="none" w:sz="0" w:space="0" w:color="auto"/>
      </w:divBdr>
    </w:div>
    <w:div w:id="1332370962">
      <w:bodyDiv w:val="1"/>
      <w:marLeft w:val="0"/>
      <w:marRight w:val="0"/>
      <w:marTop w:val="0"/>
      <w:marBottom w:val="0"/>
      <w:divBdr>
        <w:top w:val="none" w:sz="0" w:space="0" w:color="auto"/>
        <w:left w:val="none" w:sz="0" w:space="0" w:color="auto"/>
        <w:bottom w:val="none" w:sz="0" w:space="0" w:color="auto"/>
        <w:right w:val="none" w:sz="0" w:space="0" w:color="auto"/>
      </w:divBdr>
      <w:divsChild>
        <w:div w:id="1841507263">
          <w:marLeft w:val="0"/>
          <w:marRight w:val="0"/>
          <w:marTop w:val="0"/>
          <w:marBottom w:val="0"/>
          <w:divBdr>
            <w:top w:val="none" w:sz="0" w:space="0" w:color="auto"/>
            <w:left w:val="none" w:sz="0" w:space="0" w:color="auto"/>
            <w:bottom w:val="none" w:sz="0" w:space="0" w:color="auto"/>
            <w:right w:val="none" w:sz="0" w:space="0" w:color="auto"/>
          </w:divBdr>
        </w:div>
        <w:div w:id="1170680258">
          <w:marLeft w:val="0"/>
          <w:marRight w:val="0"/>
          <w:marTop w:val="0"/>
          <w:marBottom w:val="0"/>
          <w:divBdr>
            <w:top w:val="none" w:sz="0" w:space="0" w:color="auto"/>
            <w:left w:val="none" w:sz="0" w:space="0" w:color="auto"/>
            <w:bottom w:val="none" w:sz="0" w:space="0" w:color="auto"/>
            <w:right w:val="none" w:sz="0" w:space="0" w:color="auto"/>
          </w:divBdr>
        </w:div>
        <w:div w:id="2036151769">
          <w:marLeft w:val="0"/>
          <w:marRight w:val="0"/>
          <w:marTop w:val="0"/>
          <w:marBottom w:val="0"/>
          <w:divBdr>
            <w:top w:val="none" w:sz="0" w:space="0" w:color="auto"/>
            <w:left w:val="none" w:sz="0" w:space="0" w:color="auto"/>
            <w:bottom w:val="none" w:sz="0" w:space="0" w:color="auto"/>
            <w:right w:val="none" w:sz="0" w:space="0" w:color="auto"/>
          </w:divBdr>
        </w:div>
      </w:divsChild>
    </w:div>
    <w:div w:id="1577861502">
      <w:bodyDiv w:val="1"/>
      <w:marLeft w:val="0"/>
      <w:marRight w:val="0"/>
      <w:marTop w:val="0"/>
      <w:marBottom w:val="0"/>
      <w:divBdr>
        <w:top w:val="none" w:sz="0" w:space="0" w:color="auto"/>
        <w:left w:val="none" w:sz="0" w:space="0" w:color="auto"/>
        <w:bottom w:val="none" w:sz="0" w:space="0" w:color="auto"/>
        <w:right w:val="none" w:sz="0" w:space="0" w:color="auto"/>
      </w:divBdr>
    </w:div>
    <w:div w:id="1584877378">
      <w:bodyDiv w:val="1"/>
      <w:marLeft w:val="0"/>
      <w:marRight w:val="0"/>
      <w:marTop w:val="0"/>
      <w:marBottom w:val="0"/>
      <w:divBdr>
        <w:top w:val="none" w:sz="0" w:space="0" w:color="auto"/>
        <w:left w:val="none" w:sz="0" w:space="0" w:color="auto"/>
        <w:bottom w:val="none" w:sz="0" w:space="0" w:color="auto"/>
        <w:right w:val="none" w:sz="0" w:space="0" w:color="auto"/>
      </w:divBdr>
    </w:div>
    <w:div w:id="1592853143">
      <w:bodyDiv w:val="1"/>
      <w:marLeft w:val="0"/>
      <w:marRight w:val="0"/>
      <w:marTop w:val="0"/>
      <w:marBottom w:val="0"/>
      <w:divBdr>
        <w:top w:val="none" w:sz="0" w:space="0" w:color="auto"/>
        <w:left w:val="none" w:sz="0" w:space="0" w:color="auto"/>
        <w:bottom w:val="none" w:sz="0" w:space="0" w:color="auto"/>
        <w:right w:val="none" w:sz="0" w:space="0" w:color="auto"/>
      </w:divBdr>
      <w:divsChild>
        <w:div w:id="1095706025">
          <w:marLeft w:val="0"/>
          <w:marRight w:val="0"/>
          <w:marTop w:val="0"/>
          <w:marBottom w:val="0"/>
          <w:divBdr>
            <w:top w:val="none" w:sz="0" w:space="0" w:color="auto"/>
            <w:left w:val="none" w:sz="0" w:space="0" w:color="auto"/>
            <w:bottom w:val="none" w:sz="0" w:space="0" w:color="auto"/>
            <w:right w:val="none" w:sz="0" w:space="0" w:color="auto"/>
          </w:divBdr>
        </w:div>
        <w:div w:id="1152063888">
          <w:marLeft w:val="0"/>
          <w:marRight w:val="0"/>
          <w:marTop w:val="0"/>
          <w:marBottom w:val="0"/>
          <w:divBdr>
            <w:top w:val="none" w:sz="0" w:space="0" w:color="auto"/>
            <w:left w:val="none" w:sz="0" w:space="0" w:color="auto"/>
            <w:bottom w:val="none" w:sz="0" w:space="0" w:color="auto"/>
            <w:right w:val="none" w:sz="0" w:space="0" w:color="auto"/>
          </w:divBdr>
        </w:div>
        <w:div w:id="682702601">
          <w:marLeft w:val="0"/>
          <w:marRight w:val="0"/>
          <w:marTop w:val="0"/>
          <w:marBottom w:val="0"/>
          <w:divBdr>
            <w:top w:val="none" w:sz="0" w:space="0" w:color="auto"/>
            <w:left w:val="none" w:sz="0" w:space="0" w:color="auto"/>
            <w:bottom w:val="none" w:sz="0" w:space="0" w:color="auto"/>
            <w:right w:val="none" w:sz="0" w:space="0" w:color="auto"/>
          </w:divBdr>
        </w:div>
      </w:divsChild>
    </w:div>
    <w:div w:id="1710958073">
      <w:bodyDiv w:val="1"/>
      <w:marLeft w:val="0"/>
      <w:marRight w:val="0"/>
      <w:marTop w:val="0"/>
      <w:marBottom w:val="0"/>
      <w:divBdr>
        <w:top w:val="none" w:sz="0" w:space="0" w:color="auto"/>
        <w:left w:val="none" w:sz="0" w:space="0" w:color="auto"/>
        <w:bottom w:val="none" w:sz="0" w:space="0" w:color="auto"/>
        <w:right w:val="none" w:sz="0" w:space="0" w:color="auto"/>
      </w:divBdr>
    </w:div>
    <w:div w:id="1850021779">
      <w:bodyDiv w:val="1"/>
      <w:marLeft w:val="0"/>
      <w:marRight w:val="0"/>
      <w:marTop w:val="0"/>
      <w:marBottom w:val="0"/>
      <w:divBdr>
        <w:top w:val="none" w:sz="0" w:space="0" w:color="auto"/>
        <w:left w:val="none" w:sz="0" w:space="0" w:color="auto"/>
        <w:bottom w:val="none" w:sz="0" w:space="0" w:color="auto"/>
        <w:right w:val="none" w:sz="0" w:space="0" w:color="auto"/>
      </w:divBdr>
    </w:div>
    <w:div w:id="1941713382">
      <w:bodyDiv w:val="1"/>
      <w:marLeft w:val="0"/>
      <w:marRight w:val="0"/>
      <w:marTop w:val="0"/>
      <w:marBottom w:val="0"/>
      <w:divBdr>
        <w:top w:val="none" w:sz="0" w:space="0" w:color="auto"/>
        <w:left w:val="none" w:sz="0" w:space="0" w:color="auto"/>
        <w:bottom w:val="none" w:sz="0" w:space="0" w:color="auto"/>
        <w:right w:val="none" w:sz="0" w:space="0" w:color="auto"/>
      </w:divBdr>
    </w:div>
    <w:div w:id="1943758828">
      <w:bodyDiv w:val="1"/>
      <w:marLeft w:val="0"/>
      <w:marRight w:val="0"/>
      <w:marTop w:val="0"/>
      <w:marBottom w:val="0"/>
      <w:divBdr>
        <w:top w:val="none" w:sz="0" w:space="0" w:color="auto"/>
        <w:left w:val="none" w:sz="0" w:space="0" w:color="auto"/>
        <w:bottom w:val="none" w:sz="0" w:space="0" w:color="auto"/>
        <w:right w:val="none" w:sz="0" w:space="0" w:color="auto"/>
      </w:divBdr>
      <w:divsChild>
        <w:div w:id="2132673966">
          <w:marLeft w:val="547"/>
          <w:marRight w:val="0"/>
          <w:marTop w:val="144"/>
          <w:marBottom w:val="0"/>
          <w:divBdr>
            <w:top w:val="none" w:sz="0" w:space="0" w:color="auto"/>
            <w:left w:val="none" w:sz="0" w:space="0" w:color="auto"/>
            <w:bottom w:val="none" w:sz="0" w:space="0" w:color="auto"/>
            <w:right w:val="none" w:sz="0" w:space="0" w:color="auto"/>
          </w:divBdr>
        </w:div>
        <w:div w:id="1304313461">
          <w:marLeft w:val="547"/>
          <w:marRight w:val="0"/>
          <w:marTop w:val="144"/>
          <w:marBottom w:val="0"/>
          <w:divBdr>
            <w:top w:val="none" w:sz="0" w:space="0" w:color="auto"/>
            <w:left w:val="none" w:sz="0" w:space="0" w:color="auto"/>
            <w:bottom w:val="none" w:sz="0" w:space="0" w:color="auto"/>
            <w:right w:val="none" w:sz="0" w:space="0" w:color="auto"/>
          </w:divBdr>
        </w:div>
        <w:div w:id="693387792">
          <w:marLeft w:val="547"/>
          <w:marRight w:val="0"/>
          <w:marTop w:val="144"/>
          <w:marBottom w:val="0"/>
          <w:divBdr>
            <w:top w:val="none" w:sz="0" w:space="0" w:color="auto"/>
            <w:left w:val="none" w:sz="0" w:space="0" w:color="auto"/>
            <w:bottom w:val="none" w:sz="0" w:space="0" w:color="auto"/>
            <w:right w:val="none" w:sz="0" w:space="0" w:color="auto"/>
          </w:divBdr>
        </w:div>
        <w:div w:id="1432700049">
          <w:marLeft w:val="547"/>
          <w:marRight w:val="0"/>
          <w:marTop w:val="144"/>
          <w:marBottom w:val="0"/>
          <w:divBdr>
            <w:top w:val="none" w:sz="0" w:space="0" w:color="auto"/>
            <w:left w:val="none" w:sz="0" w:space="0" w:color="auto"/>
            <w:bottom w:val="none" w:sz="0" w:space="0" w:color="auto"/>
            <w:right w:val="none" w:sz="0" w:space="0" w:color="auto"/>
          </w:divBdr>
        </w:div>
        <w:div w:id="1883248337">
          <w:marLeft w:val="547"/>
          <w:marRight w:val="0"/>
          <w:marTop w:val="144"/>
          <w:marBottom w:val="0"/>
          <w:divBdr>
            <w:top w:val="none" w:sz="0" w:space="0" w:color="auto"/>
            <w:left w:val="none" w:sz="0" w:space="0" w:color="auto"/>
            <w:bottom w:val="none" w:sz="0" w:space="0" w:color="auto"/>
            <w:right w:val="none" w:sz="0" w:space="0" w:color="auto"/>
          </w:divBdr>
        </w:div>
        <w:div w:id="1504736935">
          <w:marLeft w:val="547"/>
          <w:marRight w:val="0"/>
          <w:marTop w:val="144"/>
          <w:marBottom w:val="0"/>
          <w:divBdr>
            <w:top w:val="none" w:sz="0" w:space="0" w:color="auto"/>
            <w:left w:val="none" w:sz="0" w:space="0" w:color="auto"/>
            <w:bottom w:val="none" w:sz="0" w:space="0" w:color="auto"/>
            <w:right w:val="none" w:sz="0" w:space="0" w:color="auto"/>
          </w:divBdr>
        </w:div>
        <w:div w:id="1200629832">
          <w:marLeft w:val="547"/>
          <w:marRight w:val="0"/>
          <w:marTop w:val="144"/>
          <w:marBottom w:val="0"/>
          <w:divBdr>
            <w:top w:val="none" w:sz="0" w:space="0" w:color="auto"/>
            <w:left w:val="none" w:sz="0" w:space="0" w:color="auto"/>
            <w:bottom w:val="none" w:sz="0" w:space="0" w:color="auto"/>
            <w:right w:val="none" w:sz="0" w:space="0" w:color="auto"/>
          </w:divBdr>
        </w:div>
      </w:divsChild>
    </w:div>
    <w:div w:id="2006784268">
      <w:bodyDiv w:val="1"/>
      <w:marLeft w:val="0"/>
      <w:marRight w:val="0"/>
      <w:marTop w:val="0"/>
      <w:marBottom w:val="0"/>
      <w:divBdr>
        <w:top w:val="none" w:sz="0" w:space="0" w:color="auto"/>
        <w:left w:val="none" w:sz="0" w:space="0" w:color="auto"/>
        <w:bottom w:val="none" w:sz="0" w:space="0" w:color="auto"/>
        <w:right w:val="none" w:sz="0" w:space="0" w:color="auto"/>
      </w:divBdr>
      <w:divsChild>
        <w:div w:id="188837168">
          <w:marLeft w:val="0"/>
          <w:marRight w:val="0"/>
          <w:marTop w:val="0"/>
          <w:marBottom w:val="0"/>
          <w:divBdr>
            <w:top w:val="none" w:sz="0" w:space="0" w:color="auto"/>
            <w:left w:val="none" w:sz="0" w:space="0" w:color="auto"/>
            <w:bottom w:val="none" w:sz="0" w:space="0" w:color="auto"/>
            <w:right w:val="none" w:sz="0" w:space="0" w:color="auto"/>
          </w:divBdr>
        </w:div>
      </w:divsChild>
    </w:div>
    <w:div w:id="2038505780">
      <w:bodyDiv w:val="1"/>
      <w:marLeft w:val="0"/>
      <w:marRight w:val="0"/>
      <w:marTop w:val="0"/>
      <w:marBottom w:val="0"/>
      <w:divBdr>
        <w:top w:val="none" w:sz="0" w:space="0" w:color="auto"/>
        <w:left w:val="none" w:sz="0" w:space="0" w:color="auto"/>
        <w:bottom w:val="none" w:sz="0" w:space="0" w:color="auto"/>
        <w:right w:val="none" w:sz="0" w:space="0" w:color="auto"/>
      </w:divBdr>
      <w:divsChild>
        <w:div w:id="2094159540">
          <w:marLeft w:val="0"/>
          <w:marRight w:val="0"/>
          <w:marTop w:val="0"/>
          <w:marBottom w:val="0"/>
          <w:divBdr>
            <w:top w:val="none" w:sz="0" w:space="0" w:color="auto"/>
            <w:left w:val="none" w:sz="0" w:space="0" w:color="auto"/>
            <w:bottom w:val="none" w:sz="0" w:space="0" w:color="auto"/>
            <w:right w:val="none" w:sz="0" w:space="0" w:color="auto"/>
          </w:divBdr>
        </w:div>
        <w:div w:id="1257981697">
          <w:marLeft w:val="0"/>
          <w:marRight w:val="0"/>
          <w:marTop w:val="0"/>
          <w:marBottom w:val="0"/>
          <w:divBdr>
            <w:top w:val="none" w:sz="0" w:space="0" w:color="auto"/>
            <w:left w:val="none" w:sz="0" w:space="0" w:color="auto"/>
            <w:bottom w:val="none" w:sz="0" w:space="0" w:color="auto"/>
            <w:right w:val="none" w:sz="0" w:space="0" w:color="auto"/>
          </w:divBdr>
        </w:div>
        <w:div w:id="529805803">
          <w:marLeft w:val="0"/>
          <w:marRight w:val="0"/>
          <w:marTop w:val="0"/>
          <w:marBottom w:val="0"/>
          <w:divBdr>
            <w:top w:val="none" w:sz="0" w:space="0" w:color="auto"/>
            <w:left w:val="none" w:sz="0" w:space="0" w:color="auto"/>
            <w:bottom w:val="none" w:sz="0" w:space="0" w:color="auto"/>
            <w:right w:val="none" w:sz="0" w:space="0" w:color="auto"/>
          </w:divBdr>
        </w:div>
        <w:div w:id="633753282">
          <w:marLeft w:val="0"/>
          <w:marRight w:val="0"/>
          <w:marTop w:val="0"/>
          <w:marBottom w:val="0"/>
          <w:divBdr>
            <w:top w:val="none" w:sz="0" w:space="0" w:color="auto"/>
            <w:left w:val="none" w:sz="0" w:space="0" w:color="auto"/>
            <w:bottom w:val="none" w:sz="0" w:space="0" w:color="auto"/>
            <w:right w:val="none" w:sz="0" w:space="0" w:color="auto"/>
          </w:divBdr>
        </w:div>
        <w:div w:id="2122727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Kay%20File%20Store\Pragmatic%20Development\Current%20Work\AU\Research%20Documents\data%20KK%20don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Kay%20File%20Store\Pragmatic%20Development\Current%20Work\AU\Research%20Documents\data%20KK%20done.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file:///C:\Kay%20File%20Store\Pragmatic%20Development\Current%20Work\AU\Research%20Documents\data%20KK%20don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Kay%20File%20Store\Pragmatic%20Development\Current%20Work\AU\Research%20Documents\data%20KK%20don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Kay%20File%20Store\Pragmatic%20Development\Current%20Work\AU\Research%20Documents\data%20KK%20don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Kay%20File%20Store\Pragmatic%20Development\Current%20Work\AU\Research%20Documents\data%20KK%20don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Kay%20File%20Store\Pragmatic%20Development\Current%20Work\AU\Research%20Documents\data%20KK%20do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483678764292395"/>
          <c:y val="2.0868596050010558E-2"/>
          <c:w val="0.64525862068965523"/>
          <c:h val="0.94281379722532699"/>
        </c:manualLayout>
      </c:layout>
      <c:barChart>
        <c:barDir val="bar"/>
        <c:grouping val="clustered"/>
        <c:varyColors val="0"/>
        <c:ser>
          <c:idx val="0"/>
          <c:order val="0"/>
          <c:tx>
            <c:strRef>
              <c:f>'10 - U5MR'!$B$1</c:f>
              <c:strCache>
                <c:ptCount val="1"/>
                <c:pt idx="0">
                  <c:v>1990</c:v>
                </c:pt>
              </c:strCache>
            </c:strRef>
          </c:tx>
          <c:invertIfNegative val="0"/>
          <c:cat>
            <c:strRef>
              <c:f>'10 - U5MR'!$A$2:$A$54</c:f>
              <c:strCache>
                <c:ptCount val="53"/>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Sao Tome and Principe</c:v>
                </c:pt>
                <c:pt idx="39">
                  <c:v>Senegal</c:v>
                </c:pt>
                <c:pt idx="40">
                  <c:v>Seychelles</c:v>
                </c:pt>
                <c:pt idx="41">
                  <c:v>Sierra Leone</c:v>
                </c:pt>
                <c:pt idx="42">
                  <c:v>Somalia</c:v>
                </c:pt>
                <c:pt idx="43">
                  <c:v>South Africa</c:v>
                </c:pt>
                <c:pt idx="44">
                  <c:v>South Sudan</c:v>
                </c:pt>
                <c:pt idx="45">
                  <c:v>Sudan</c:v>
                </c:pt>
                <c:pt idx="46">
                  <c:v>Swaziland</c:v>
                </c:pt>
                <c:pt idx="47">
                  <c:v>Tanzania</c:v>
                </c:pt>
                <c:pt idx="48">
                  <c:v>Togo</c:v>
                </c:pt>
                <c:pt idx="49">
                  <c:v>Tunisia</c:v>
                </c:pt>
                <c:pt idx="50">
                  <c:v>Uganda</c:v>
                </c:pt>
                <c:pt idx="51">
                  <c:v>Zambia</c:v>
                </c:pt>
                <c:pt idx="52">
                  <c:v>Zimbabwe</c:v>
                </c:pt>
              </c:strCache>
            </c:strRef>
          </c:cat>
          <c:val>
            <c:numRef>
              <c:f>'10 - U5MR'!$B$2:$B$54</c:f>
              <c:numCache>
                <c:formatCode>General</c:formatCode>
                <c:ptCount val="53"/>
                <c:pt idx="0">
                  <c:v>47.1</c:v>
                </c:pt>
                <c:pt idx="1">
                  <c:v>225.9</c:v>
                </c:pt>
                <c:pt idx="2">
                  <c:v>179.4</c:v>
                </c:pt>
                <c:pt idx="3">
                  <c:v>49.5</c:v>
                </c:pt>
                <c:pt idx="4">
                  <c:v>202.2</c:v>
                </c:pt>
                <c:pt idx="5">
                  <c:v>170.8</c:v>
                </c:pt>
                <c:pt idx="6">
                  <c:v>136.4</c:v>
                </c:pt>
                <c:pt idx="7">
                  <c:v>63</c:v>
                </c:pt>
                <c:pt idx="8">
                  <c:v>176.9</c:v>
                </c:pt>
                <c:pt idx="9">
                  <c:v>214.7</c:v>
                </c:pt>
                <c:pt idx="10">
                  <c:v>125.4</c:v>
                </c:pt>
                <c:pt idx="11">
                  <c:v>92.2</c:v>
                </c:pt>
                <c:pt idx="12">
                  <c:v>118.6</c:v>
                </c:pt>
                <c:pt idx="13">
                  <c:v>176</c:v>
                </c:pt>
                <c:pt idx="14">
                  <c:v>85.1</c:v>
                </c:pt>
                <c:pt idx="15">
                  <c:v>184</c:v>
                </c:pt>
                <c:pt idx="16">
                  <c:v>150.6</c:v>
                </c:pt>
                <c:pt idx="17">
                  <c:v>205</c:v>
                </c:pt>
                <c:pt idx="18">
                  <c:v>92.7</c:v>
                </c:pt>
                <c:pt idx="19">
                  <c:v>169.8</c:v>
                </c:pt>
                <c:pt idx="20">
                  <c:v>128.19999999999999</c:v>
                </c:pt>
                <c:pt idx="21">
                  <c:v>237.6</c:v>
                </c:pt>
                <c:pt idx="22">
                  <c:v>224.8</c:v>
                </c:pt>
                <c:pt idx="23">
                  <c:v>151.6</c:v>
                </c:pt>
                <c:pt idx="24">
                  <c:v>98.7</c:v>
                </c:pt>
                <c:pt idx="25">
                  <c:v>86.3</c:v>
                </c:pt>
                <c:pt idx="26">
                  <c:v>248</c:v>
                </c:pt>
                <c:pt idx="27">
                  <c:v>42.4</c:v>
                </c:pt>
                <c:pt idx="28">
                  <c:v>160.80000000000001</c:v>
                </c:pt>
                <c:pt idx="29">
                  <c:v>245.3</c:v>
                </c:pt>
                <c:pt idx="30">
                  <c:v>254.2</c:v>
                </c:pt>
                <c:pt idx="31">
                  <c:v>117.8</c:v>
                </c:pt>
                <c:pt idx="32">
                  <c:v>23.1</c:v>
                </c:pt>
                <c:pt idx="33">
                  <c:v>237</c:v>
                </c:pt>
                <c:pt idx="34">
                  <c:v>73.599999999999994</c:v>
                </c:pt>
                <c:pt idx="35">
                  <c:v>327.3</c:v>
                </c:pt>
                <c:pt idx="36">
                  <c:v>213.2</c:v>
                </c:pt>
                <c:pt idx="37">
                  <c:v>151.80000000000001</c:v>
                </c:pt>
                <c:pt idx="38">
                  <c:v>110.4</c:v>
                </c:pt>
                <c:pt idx="39">
                  <c:v>141.1</c:v>
                </c:pt>
                <c:pt idx="40">
                  <c:v>16.5</c:v>
                </c:pt>
                <c:pt idx="41">
                  <c:v>267.7</c:v>
                </c:pt>
                <c:pt idx="42">
                  <c:v>179.7</c:v>
                </c:pt>
                <c:pt idx="43">
                  <c:v>61</c:v>
                </c:pt>
                <c:pt idx="44">
                  <c:v>252.9</c:v>
                </c:pt>
                <c:pt idx="45">
                  <c:v>128</c:v>
                </c:pt>
                <c:pt idx="46">
                  <c:v>73.900000000000006</c:v>
                </c:pt>
                <c:pt idx="47">
                  <c:v>167</c:v>
                </c:pt>
                <c:pt idx="48">
                  <c:v>146.4</c:v>
                </c:pt>
                <c:pt idx="49">
                  <c:v>52.2</c:v>
                </c:pt>
                <c:pt idx="50">
                  <c:v>178.2</c:v>
                </c:pt>
                <c:pt idx="51">
                  <c:v>192.5</c:v>
                </c:pt>
                <c:pt idx="52">
                  <c:v>74.599999999999994</c:v>
                </c:pt>
              </c:numCache>
            </c:numRef>
          </c:val>
        </c:ser>
        <c:ser>
          <c:idx val="1"/>
          <c:order val="1"/>
          <c:tx>
            <c:strRef>
              <c:f>'10 - U5MR'!$C$1</c:f>
              <c:strCache>
                <c:ptCount val="1"/>
                <c:pt idx="0">
                  <c:v>2010</c:v>
                </c:pt>
              </c:strCache>
            </c:strRef>
          </c:tx>
          <c:invertIfNegative val="0"/>
          <c:cat>
            <c:strRef>
              <c:f>'10 - U5MR'!$A$2:$A$54</c:f>
              <c:strCache>
                <c:ptCount val="53"/>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Sao Tome and Principe</c:v>
                </c:pt>
                <c:pt idx="39">
                  <c:v>Senegal</c:v>
                </c:pt>
                <c:pt idx="40">
                  <c:v>Seychelles</c:v>
                </c:pt>
                <c:pt idx="41">
                  <c:v>Sierra Leone</c:v>
                </c:pt>
                <c:pt idx="42">
                  <c:v>Somalia</c:v>
                </c:pt>
                <c:pt idx="43">
                  <c:v>South Africa</c:v>
                </c:pt>
                <c:pt idx="44">
                  <c:v>South Sudan</c:v>
                </c:pt>
                <c:pt idx="45">
                  <c:v>Sudan</c:v>
                </c:pt>
                <c:pt idx="46">
                  <c:v>Swaziland</c:v>
                </c:pt>
                <c:pt idx="47">
                  <c:v>Tanzania</c:v>
                </c:pt>
                <c:pt idx="48">
                  <c:v>Togo</c:v>
                </c:pt>
                <c:pt idx="49">
                  <c:v>Tunisia</c:v>
                </c:pt>
                <c:pt idx="50">
                  <c:v>Uganda</c:v>
                </c:pt>
                <c:pt idx="51">
                  <c:v>Zambia</c:v>
                </c:pt>
                <c:pt idx="52">
                  <c:v>Zimbabwe</c:v>
                </c:pt>
              </c:strCache>
            </c:strRef>
          </c:cat>
          <c:val>
            <c:numRef>
              <c:f>'10 - U5MR'!$C$2:$C$54</c:f>
              <c:numCache>
                <c:formatCode>General</c:formatCode>
                <c:ptCount val="53"/>
                <c:pt idx="0">
                  <c:v>27.4</c:v>
                </c:pt>
                <c:pt idx="1">
                  <c:v>182.4</c:v>
                </c:pt>
                <c:pt idx="2">
                  <c:v>95.7</c:v>
                </c:pt>
                <c:pt idx="3">
                  <c:v>52.4</c:v>
                </c:pt>
                <c:pt idx="4">
                  <c:v>114.4</c:v>
                </c:pt>
                <c:pt idx="5">
                  <c:v>93.6</c:v>
                </c:pt>
                <c:pt idx="6">
                  <c:v>104.4</c:v>
                </c:pt>
                <c:pt idx="7">
                  <c:v>27.8</c:v>
                </c:pt>
                <c:pt idx="8">
                  <c:v>152.6</c:v>
                </c:pt>
                <c:pt idx="9">
                  <c:v>160.4</c:v>
                </c:pt>
                <c:pt idx="10">
                  <c:v>85.5</c:v>
                </c:pt>
                <c:pt idx="11">
                  <c:v>60.1</c:v>
                </c:pt>
                <c:pt idx="12">
                  <c:v>76.099999999999994</c:v>
                </c:pt>
                <c:pt idx="13">
                  <c:v>130.69999999999999</c:v>
                </c:pt>
                <c:pt idx="14">
                  <c:v>23.5</c:v>
                </c:pt>
                <c:pt idx="15">
                  <c:v>105.6</c:v>
                </c:pt>
                <c:pt idx="16">
                  <c:v>55.6</c:v>
                </c:pt>
                <c:pt idx="17">
                  <c:v>75.599999999999994</c:v>
                </c:pt>
                <c:pt idx="18">
                  <c:v>63.5</c:v>
                </c:pt>
                <c:pt idx="19">
                  <c:v>81.7</c:v>
                </c:pt>
                <c:pt idx="20">
                  <c:v>83.2</c:v>
                </c:pt>
                <c:pt idx="21">
                  <c:v>112.2</c:v>
                </c:pt>
                <c:pt idx="22">
                  <c:v>135.9</c:v>
                </c:pt>
                <c:pt idx="23">
                  <c:v>109.3</c:v>
                </c:pt>
                <c:pt idx="24">
                  <c:v>79.5</c:v>
                </c:pt>
                <c:pt idx="25">
                  <c:v>108.6</c:v>
                </c:pt>
                <c:pt idx="26">
                  <c:v>81.900000000000006</c:v>
                </c:pt>
                <c:pt idx="27">
                  <c:v>16.7</c:v>
                </c:pt>
                <c:pt idx="28">
                  <c:v>63</c:v>
                </c:pt>
                <c:pt idx="29">
                  <c:v>82.7</c:v>
                </c:pt>
                <c:pt idx="30">
                  <c:v>137.1</c:v>
                </c:pt>
                <c:pt idx="31">
                  <c:v>98.2</c:v>
                </c:pt>
                <c:pt idx="32">
                  <c:v>15.2</c:v>
                </c:pt>
                <c:pt idx="33">
                  <c:v>102.5</c:v>
                </c:pt>
                <c:pt idx="34">
                  <c:v>55.7</c:v>
                </c:pt>
                <c:pt idx="35">
                  <c:v>123.5</c:v>
                </c:pt>
                <c:pt idx="36">
                  <c:v>131.1</c:v>
                </c:pt>
                <c:pt idx="37">
                  <c:v>63.6</c:v>
                </c:pt>
                <c:pt idx="38">
                  <c:v>56.7</c:v>
                </c:pt>
                <c:pt idx="39">
                  <c:v>66.3</c:v>
                </c:pt>
                <c:pt idx="40">
                  <c:v>14.3</c:v>
                </c:pt>
                <c:pt idx="41">
                  <c:v>175.3</c:v>
                </c:pt>
                <c:pt idx="42">
                  <c:v>159</c:v>
                </c:pt>
                <c:pt idx="43">
                  <c:v>53.2</c:v>
                </c:pt>
                <c:pt idx="44">
                  <c:v>110.8</c:v>
                </c:pt>
                <c:pt idx="45">
                  <c:v>83.3</c:v>
                </c:pt>
                <c:pt idx="46">
                  <c:v>94</c:v>
                </c:pt>
                <c:pt idx="47">
                  <c:v>61.4</c:v>
                </c:pt>
                <c:pt idx="48">
                  <c:v>92.9</c:v>
                </c:pt>
                <c:pt idx="49">
                  <c:v>17.399999999999999</c:v>
                </c:pt>
                <c:pt idx="50">
                  <c:v>78.3</c:v>
                </c:pt>
                <c:pt idx="51">
                  <c:v>101.4</c:v>
                </c:pt>
                <c:pt idx="52">
                  <c:v>96</c:v>
                </c:pt>
              </c:numCache>
            </c:numRef>
          </c:val>
        </c:ser>
        <c:ser>
          <c:idx val="2"/>
          <c:order val="2"/>
          <c:tx>
            <c:strRef>
              <c:f>'10 - U5MR'!$D$1</c:f>
              <c:strCache>
                <c:ptCount val="1"/>
                <c:pt idx="0">
                  <c:v>2011</c:v>
                </c:pt>
              </c:strCache>
            </c:strRef>
          </c:tx>
          <c:invertIfNegative val="0"/>
          <c:cat>
            <c:strRef>
              <c:f>'10 - U5MR'!$A$2:$A$54</c:f>
              <c:strCache>
                <c:ptCount val="53"/>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Sao Tome and Principe</c:v>
                </c:pt>
                <c:pt idx="39">
                  <c:v>Senegal</c:v>
                </c:pt>
                <c:pt idx="40">
                  <c:v>Seychelles</c:v>
                </c:pt>
                <c:pt idx="41">
                  <c:v>Sierra Leone</c:v>
                </c:pt>
                <c:pt idx="42">
                  <c:v>Somalia</c:v>
                </c:pt>
                <c:pt idx="43">
                  <c:v>South Africa</c:v>
                </c:pt>
                <c:pt idx="44">
                  <c:v>South Sudan</c:v>
                </c:pt>
                <c:pt idx="45">
                  <c:v>Sudan</c:v>
                </c:pt>
                <c:pt idx="46">
                  <c:v>Swaziland</c:v>
                </c:pt>
                <c:pt idx="47">
                  <c:v>Tanzania</c:v>
                </c:pt>
                <c:pt idx="48">
                  <c:v>Togo</c:v>
                </c:pt>
                <c:pt idx="49">
                  <c:v>Tunisia</c:v>
                </c:pt>
                <c:pt idx="50">
                  <c:v>Uganda</c:v>
                </c:pt>
                <c:pt idx="51">
                  <c:v>Zambia</c:v>
                </c:pt>
                <c:pt idx="52">
                  <c:v>Zimbabwe</c:v>
                </c:pt>
              </c:strCache>
            </c:strRef>
          </c:cat>
          <c:val>
            <c:numRef>
              <c:f>'10 - U5MR'!$D$2:$D$54</c:f>
              <c:numCache>
                <c:formatCode>General</c:formatCode>
                <c:ptCount val="53"/>
                <c:pt idx="0">
                  <c:v>26.6</c:v>
                </c:pt>
                <c:pt idx="1">
                  <c:v>177.5</c:v>
                </c:pt>
                <c:pt idx="2">
                  <c:v>92.1</c:v>
                </c:pt>
                <c:pt idx="3">
                  <c:v>50.7</c:v>
                </c:pt>
                <c:pt idx="4">
                  <c:v>107.8</c:v>
                </c:pt>
                <c:pt idx="5">
                  <c:v>89.7</c:v>
                </c:pt>
                <c:pt idx="6">
                  <c:v>100.8</c:v>
                </c:pt>
                <c:pt idx="7">
                  <c:v>27.3</c:v>
                </c:pt>
                <c:pt idx="8">
                  <c:v>147.6</c:v>
                </c:pt>
                <c:pt idx="9">
                  <c:v>156.1</c:v>
                </c:pt>
                <c:pt idx="10">
                  <c:v>82.8</c:v>
                </c:pt>
                <c:pt idx="11">
                  <c:v>55.7</c:v>
                </c:pt>
                <c:pt idx="12">
                  <c:v>73.8</c:v>
                </c:pt>
                <c:pt idx="13">
                  <c:v>126.4</c:v>
                </c:pt>
                <c:pt idx="14">
                  <c:v>22.8</c:v>
                </c:pt>
                <c:pt idx="15">
                  <c:v>102.3</c:v>
                </c:pt>
                <c:pt idx="16">
                  <c:v>53.6</c:v>
                </c:pt>
                <c:pt idx="17">
                  <c:v>71.3</c:v>
                </c:pt>
                <c:pt idx="18">
                  <c:v>60.6</c:v>
                </c:pt>
                <c:pt idx="19">
                  <c:v>79</c:v>
                </c:pt>
                <c:pt idx="20">
                  <c:v>81.7</c:v>
                </c:pt>
                <c:pt idx="21">
                  <c:v>108.1</c:v>
                </c:pt>
                <c:pt idx="22">
                  <c:v>131.69999999999999</c:v>
                </c:pt>
                <c:pt idx="23">
                  <c:v>106.2</c:v>
                </c:pt>
                <c:pt idx="24">
                  <c:v>75.8</c:v>
                </c:pt>
                <c:pt idx="25">
                  <c:v>102.3</c:v>
                </c:pt>
                <c:pt idx="26">
                  <c:v>77.8</c:v>
                </c:pt>
                <c:pt idx="27">
                  <c:v>15.9</c:v>
                </c:pt>
                <c:pt idx="28">
                  <c:v>60.6</c:v>
                </c:pt>
                <c:pt idx="29">
                  <c:v>76.7</c:v>
                </c:pt>
                <c:pt idx="30">
                  <c:v>132</c:v>
                </c:pt>
                <c:pt idx="31">
                  <c:v>95.6</c:v>
                </c:pt>
                <c:pt idx="32">
                  <c:v>14.9</c:v>
                </c:pt>
                <c:pt idx="33">
                  <c:v>97.2</c:v>
                </c:pt>
                <c:pt idx="34">
                  <c:v>52.6</c:v>
                </c:pt>
                <c:pt idx="35">
                  <c:v>116.1</c:v>
                </c:pt>
                <c:pt idx="36">
                  <c:v>126.2</c:v>
                </c:pt>
                <c:pt idx="37">
                  <c:v>58.7</c:v>
                </c:pt>
                <c:pt idx="38">
                  <c:v>54.6</c:v>
                </c:pt>
                <c:pt idx="39">
                  <c:v>61.9</c:v>
                </c:pt>
                <c:pt idx="40">
                  <c:v>14.3</c:v>
                </c:pt>
                <c:pt idx="41">
                  <c:v>170.5</c:v>
                </c:pt>
                <c:pt idx="42">
                  <c:v>154.69999999999999</c:v>
                </c:pt>
                <c:pt idx="43">
                  <c:v>47.5</c:v>
                </c:pt>
                <c:pt idx="44">
                  <c:v>106.7</c:v>
                </c:pt>
                <c:pt idx="45">
                  <c:v>81.099999999999994</c:v>
                </c:pt>
                <c:pt idx="46">
                  <c:v>86.9</c:v>
                </c:pt>
                <c:pt idx="47">
                  <c:v>57.2</c:v>
                </c:pt>
                <c:pt idx="48">
                  <c:v>90.2</c:v>
                </c:pt>
                <c:pt idx="49">
                  <c:v>16.5</c:v>
                </c:pt>
                <c:pt idx="50">
                  <c:v>74</c:v>
                </c:pt>
                <c:pt idx="51">
                  <c:v>95.9</c:v>
                </c:pt>
                <c:pt idx="52">
                  <c:v>94</c:v>
                </c:pt>
              </c:numCache>
            </c:numRef>
          </c:val>
        </c:ser>
        <c:ser>
          <c:idx val="3"/>
          <c:order val="3"/>
          <c:tx>
            <c:strRef>
              <c:f>'10 - U5MR'!$E$1</c:f>
              <c:strCache>
                <c:ptCount val="1"/>
                <c:pt idx="0">
                  <c:v>2012</c:v>
                </c:pt>
              </c:strCache>
            </c:strRef>
          </c:tx>
          <c:invertIfNegative val="0"/>
          <c:cat>
            <c:strRef>
              <c:f>'10 - U5MR'!$A$2:$A$54</c:f>
              <c:strCache>
                <c:ptCount val="53"/>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Sao Tome and Principe</c:v>
                </c:pt>
                <c:pt idx="39">
                  <c:v>Senegal</c:v>
                </c:pt>
                <c:pt idx="40">
                  <c:v>Seychelles</c:v>
                </c:pt>
                <c:pt idx="41">
                  <c:v>Sierra Leone</c:v>
                </c:pt>
                <c:pt idx="42">
                  <c:v>Somalia</c:v>
                </c:pt>
                <c:pt idx="43">
                  <c:v>South Africa</c:v>
                </c:pt>
                <c:pt idx="44">
                  <c:v>South Sudan</c:v>
                </c:pt>
                <c:pt idx="45">
                  <c:v>Sudan</c:v>
                </c:pt>
                <c:pt idx="46">
                  <c:v>Swaziland</c:v>
                </c:pt>
                <c:pt idx="47">
                  <c:v>Tanzania</c:v>
                </c:pt>
                <c:pt idx="48">
                  <c:v>Togo</c:v>
                </c:pt>
                <c:pt idx="49">
                  <c:v>Tunisia</c:v>
                </c:pt>
                <c:pt idx="50">
                  <c:v>Uganda</c:v>
                </c:pt>
                <c:pt idx="51">
                  <c:v>Zambia</c:v>
                </c:pt>
                <c:pt idx="52">
                  <c:v>Zimbabwe</c:v>
                </c:pt>
              </c:strCache>
            </c:strRef>
          </c:cat>
          <c:val>
            <c:numRef>
              <c:f>'10 - U5MR'!$E$2:$E$54</c:f>
              <c:numCache>
                <c:formatCode>General</c:formatCode>
                <c:ptCount val="53"/>
                <c:pt idx="0">
                  <c:v>25.8</c:v>
                </c:pt>
                <c:pt idx="1">
                  <c:v>172.6</c:v>
                </c:pt>
                <c:pt idx="2">
                  <c:v>88.6</c:v>
                </c:pt>
                <c:pt idx="3">
                  <c:v>47.8</c:v>
                </c:pt>
                <c:pt idx="4">
                  <c:v>102.4</c:v>
                </c:pt>
                <c:pt idx="5">
                  <c:v>86.1</c:v>
                </c:pt>
                <c:pt idx="6">
                  <c:v>97.3</c:v>
                </c:pt>
                <c:pt idx="7">
                  <c:v>26.7</c:v>
                </c:pt>
                <c:pt idx="8">
                  <c:v>142.69999999999999</c:v>
                </c:pt>
                <c:pt idx="9">
                  <c:v>151.80000000000001</c:v>
                </c:pt>
                <c:pt idx="10">
                  <c:v>80.2</c:v>
                </c:pt>
                <c:pt idx="11">
                  <c:v>52</c:v>
                </c:pt>
                <c:pt idx="12">
                  <c:v>71.7</c:v>
                </c:pt>
                <c:pt idx="13">
                  <c:v>122.3</c:v>
                </c:pt>
                <c:pt idx="14">
                  <c:v>22.3</c:v>
                </c:pt>
                <c:pt idx="15">
                  <c:v>99</c:v>
                </c:pt>
                <c:pt idx="16">
                  <c:v>51.6</c:v>
                </c:pt>
                <c:pt idx="17">
                  <c:v>67.599999999999994</c:v>
                </c:pt>
                <c:pt idx="18">
                  <c:v>57.8</c:v>
                </c:pt>
                <c:pt idx="19">
                  <c:v>76.400000000000006</c:v>
                </c:pt>
                <c:pt idx="20">
                  <c:v>80.2</c:v>
                </c:pt>
                <c:pt idx="21">
                  <c:v>104.4</c:v>
                </c:pt>
                <c:pt idx="22">
                  <c:v>127.9</c:v>
                </c:pt>
                <c:pt idx="23">
                  <c:v>103</c:v>
                </c:pt>
                <c:pt idx="24">
                  <c:v>73.099999999999994</c:v>
                </c:pt>
                <c:pt idx="25">
                  <c:v>99.6</c:v>
                </c:pt>
                <c:pt idx="26">
                  <c:v>74.3</c:v>
                </c:pt>
                <c:pt idx="27">
                  <c:v>15.2</c:v>
                </c:pt>
                <c:pt idx="28">
                  <c:v>58.1</c:v>
                </c:pt>
                <c:pt idx="29">
                  <c:v>70.5</c:v>
                </c:pt>
                <c:pt idx="30">
                  <c:v>127.5</c:v>
                </c:pt>
                <c:pt idx="31">
                  <c:v>92.9</c:v>
                </c:pt>
                <c:pt idx="32">
                  <c:v>14.6</c:v>
                </c:pt>
                <c:pt idx="33">
                  <c:v>90.6</c:v>
                </c:pt>
                <c:pt idx="34">
                  <c:v>50.6</c:v>
                </c:pt>
                <c:pt idx="35">
                  <c:v>109.7</c:v>
                </c:pt>
                <c:pt idx="36">
                  <c:v>121.6</c:v>
                </c:pt>
                <c:pt idx="37">
                  <c:v>54.9</c:v>
                </c:pt>
                <c:pt idx="38">
                  <c:v>52.8</c:v>
                </c:pt>
                <c:pt idx="39">
                  <c:v>58.4</c:v>
                </c:pt>
                <c:pt idx="40">
                  <c:v>14.3</c:v>
                </c:pt>
                <c:pt idx="41">
                  <c:v>165.5</c:v>
                </c:pt>
                <c:pt idx="42">
                  <c:v>150.1</c:v>
                </c:pt>
                <c:pt idx="43">
                  <c:v>44.9</c:v>
                </c:pt>
                <c:pt idx="44">
                  <c:v>102.9</c:v>
                </c:pt>
                <c:pt idx="45">
                  <c:v>78.8</c:v>
                </c:pt>
                <c:pt idx="46">
                  <c:v>81.7</c:v>
                </c:pt>
                <c:pt idx="47">
                  <c:v>53.9</c:v>
                </c:pt>
                <c:pt idx="48">
                  <c:v>87.5</c:v>
                </c:pt>
                <c:pt idx="49">
                  <c:v>15.8</c:v>
                </c:pt>
                <c:pt idx="50">
                  <c:v>68.900000000000006</c:v>
                </c:pt>
                <c:pt idx="51">
                  <c:v>89.8</c:v>
                </c:pt>
                <c:pt idx="52">
                  <c:v>88.5</c:v>
                </c:pt>
              </c:numCache>
            </c:numRef>
          </c:val>
        </c:ser>
        <c:ser>
          <c:idx val="4"/>
          <c:order val="4"/>
          <c:tx>
            <c:strRef>
              <c:f>'10 - U5MR'!$F$1</c:f>
              <c:strCache>
                <c:ptCount val="1"/>
                <c:pt idx="0">
                  <c:v>2013</c:v>
                </c:pt>
              </c:strCache>
            </c:strRef>
          </c:tx>
          <c:invertIfNegative val="0"/>
          <c:cat>
            <c:strRef>
              <c:f>'10 - U5MR'!$A$2:$A$54</c:f>
              <c:strCache>
                <c:ptCount val="53"/>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Sao Tome and Principe</c:v>
                </c:pt>
                <c:pt idx="39">
                  <c:v>Senegal</c:v>
                </c:pt>
                <c:pt idx="40">
                  <c:v>Seychelles</c:v>
                </c:pt>
                <c:pt idx="41">
                  <c:v>Sierra Leone</c:v>
                </c:pt>
                <c:pt idx="42">
                  <c:v>Somalia</c:v>
                </c:pt>
                <c:pt idx="43">
                  <c:v>South Africa</c:v>
                </c:pt>
                <c:pt idx="44">
                  <c:v>South Sudan</c:v>
                </c:pt>
                <c:pt idx="45">
                  <c:v>Sudan</c:v>
                </c:pt>
                <c:pt idx="46">
                  <c:v>Swaziland</c:v>
                </c:pt>
                <c:pt idx="47">
                  <c:v>Tanzania</c:v>
                </c:pt>
                <c:pt idx="48">
                  <c:v>Togo</c:v>
                </c:pt>
                <c:pt idx="49">
                  <c:v>Tunisia</c:v>
                </c:pt>
                <c:pt idx="50">
                  <c:v>Uganda</c:v>
                </c:pt>
                <c:pt idx="51">
                  <c:v>Zambia</c:v>
                </c:pt>
                <c:pt idx="52">
                  <c:v>Zimbabwe</c:v>
                </c:pt>
              </c:strCache>
            </c:strRef>
          </c:cat>
          <c:val>
            <c:numRef>
              <c:f>'10 - U5MR'!$F$2:$F$54</c:f>
              <c:numCache>
                <c:formatCode>General</c:formatCode>
                <c:ptCount val="53"/>
                <c:pt idx="0">
                  <c:v>25.2</c:v>
                </c:pt>
                <c:pt idx="1">
                  <c:v>167.4</c:v>
                </c:pt>
                <c:pt idx="2">
                  <c:v>85.3</c:v>
                </c:pt>
                <c:pt idx="3">
                  <c:v>46.6</c:v>
                </c:pt>
                <c:pt idx="4">
                  <c:v>97.6</c:v>
                </c:pt>
                <c:pt idx="5">
                  <c:v>82.9</c:v>
                </c:pt>
                <c:pt idx="6">
                  <c:v>94.5</c:v>
                </c:pt>
                <c:pt idx="7">
                  <c:v>26</c:v>
                </c:pt>
                <c:pt idx="8">
                  <c:v>139.19999999999999</c:v>
                </c:pt>
                <c:pt idx="9">
                  <c:v>147.5</c:v>
                </c:pt>
                <c:pt idx="10">
                  <c:v>77.900000000000006</c:v>
                </c:pt>
                <c:pt idx="11">
                  <c:v>49.1</c:v>
                </c:pt>
                <c:pt idx="12">
                  <c:v>69.599999999999994</c:v>
                </c:pt>
                <c:pt idx="13">
                  <c:v>118.5</c:v>
                </c:pt>
                <c:pt idx="14">
                  <c:v>21.8</c:v>
                </c:pt>
                <c:pt idx="15">
                  <c:v>95.8</c:v>
                </c:pt>
                <c:pt idx="16">
                  <c:v>49.9</c:v>
                </c:pt>
                <c:pt idx="17">
                  <c:v>64.400000000000006</c:v>
                </c:pt>
                <c:pt idx="18">
                  <c:v>56.1</c:v>
                </c:pt>
                <c:pt idx="19">
                  <c:v>73.8</c:v>
                </c:pt>
                <c:pt idx="20">
                  <c:v>78.400000000000006</c:v>
                </c:pt>
                <c:pt idx="21">
                  <c:v>100.7</c:v>
                </c:pt>
                <c:pt idx="22">
                  <c:v>123.9</c:v>
                </c:pt>
                <c:pt idx="23">
                  <c:v>100</c:v>
                </c:pt>
                <c:pt idx="24">
                  <c:v>70.7</c:v>
                </c:pt>
                <c:pt idx="25">
                  <c:v>98</c:v>
                </c:pt>
                <c:pt idx="26">
                  <c:v>71.099999999999994</c:v>
                </c:pt>
                <c:pt idx="27">
                  <c:v>14.5</c:v>
                </c:pt>
                <c:pt idx="28">
                  <c:v>56</c:v>
                </c:pt>
                <c:pt idx="29">
                  <c:v>67.900000000000006</c:v>
                </c:pt>
                <c:pt idx="30">
                  <c:v>122.7</c:v>
                </c:pt>
                <c:pt idx="31">
                  <c:v>90.1</c:v>
                </c:pt>
                <c:pt idx="32">
                  <c:v>14.3</c:v>
                </c:pt>
                <c:pt idx="33">
                  <c:v>87.2</c:v>
                </c:pt>
                <c:pt idx="34">
                  <c:v>49.8</c:v>
                </c:pt>
                <c:pt idx="35">
                  <c:v>104.2</c:v>
                </c:pt>
                <c:pt idx="36">
                  <c:v>117.4</c:v>
                </c:pt>
                <c:pt idx="37">
                  <c:v>52</c:v>
                </c:pt>
                <c:pt idx="38">
                  <c:v>51</c:v>
                </c:pt>
                <c:pt idx="39">
                  <c:v>55.3</c:v>
                </c:pt>
                <c:pt idx="40">
                  <c:v>14.2</c:v>
                </c:pt>
                <c:pt idx="41">
                  <c:v>160.6</c:v>
                </c:pt>
                <c:pt idx="42">
                  <c:v>145.6</c:v>
                </c:pt>
                <c:pt idx="43">
                  <c:v>43.9</c:v>
                </c:pt>
                <c:pt idx="44">
                  <c:v>99.2</c:v>
                </c:pt>
                <c:pt idx="45">
                  <c:v>76.599999999999994</c:v>
                </c:pt>
                <c:pt idx="46">
                  <c:v>80</c:v>
                </c:pt>
                <c:pt idx="47">
                  <c:v>51.8</c:v>
                </c:pt>
                <c:pt idx="48">
                  <c:v>84.7</c:v>
                </c:pt>
                <c:pt idx="49">
                  <c:v>15.2</c:v>
                </c:pt>
                <c:pt idx="50">
                  <c:v>66</c:v>
                </c:pt>
                <c:pt idx="51">
                  <c:v>87.4</c:v>
                </c:pt>
                <c:pt idx="52">
                  <c:v>88.5</c:v>
                </c:pt>
              </c:numCache>
            </c:numRef>
          </c:val>
        </c:ser>
        <c:dLbls>
          <c:showLegendKey val="0"/>
          <c:showVal val="0"/>
          <c:showCatName val="0"/>
          <c:showSerName val="0"/>
          <c:showPercent val="0"/>
          <c:showBubbleSize val="0"/>
        </c:dLbls>
        <c:gapWidth val="150"/>
        <c:axId val="403056392"/>
        <c:axId val="403057176"/>
      </c:barChart>
      <c:catAx>
        <c:axId val="403056392"/>
        <c:scaling>
          <c:orientation val="minMax"/>
        </c:scaling>
        <c:delete val="0"/>
        <c:axPos val="l"/>
        <c:numFmt formatCode="General" sourceLinked="0"/>
        <c:majorTickMark val="out"/>
        <c:minorTickMark val="none"/>
        <c:tickLblPos val="nextTo"/>
        <c:txPr>
          <a:bodyPr/>
          <a:lstStyle/>
          <a:p>
            <a:pPr>
              <a:defRPr sz="800"/>
            </a:pPr>
            <a:endParaRPr lang="en-US"/>
          </a:p>
        </c:txPr>
        <c:crossAx val="403057176"/>
        <c:crosses val="autoZero"/>
        <c:auto val="1"/>
        <c:lblAlgn val="ctr"/>
        <c:lblOffset val="100"/>
        <c:noMultiLvlLbl val="0"/>
      </c:catAx>
      <c:valAx>
        <c:axId val="403057176"/>
        <c:scaling>
          <c:orientation val="minMax"/>
        </c:scaling>
        <c:delete val="0"/>
        <c:axPos val="b"/>
        <c:majorGridlines/>
        <c:numFmt formatCode="General" sourceLinked="1"/>
        <c:majorTickMark val="out"/>
        <c:minorTickMark val="none"/>
        <c:tickLblPos val="nextTo"/>
        <c:txPr>
          <a:bodyPr/>
          <a:lstStyle/>
          <a:p>
            <a:pPr>
              <a:defRPr sz="800"/>
            </a:pPr>
            <a:endParaRPr lang="en-US"/>
          </a:p>
        </c:txPr>
        <c:crossAx val="403056392"/>
        <c:crosses val="autoZero"/>
        <c:crossBetween val="between"/>
      </c:valAx>
    </c:plotArea>
    <c:legend>
      <c:legendPos val="r"/>
      <c:overlay val="0"/>
      <c:txPr>
        <a:bodyPr/>
        <a:lstStyle/>
        <a:p>
          <a:pPr>
            <a:defRPr sz="8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439934698884288"/>
          <c:y val="2.1127843266966193E-2"/>
          <c:w val="0.68816795561114319"/>
          <c:h val="0.94226481316439881"/>
        </c:manualLayout>
      </c:layout>
      <c:barChart>
        <c:barDir val="bar"/>
        <c:grouping val="clustered"/>
        <c:varyColors val="0"/>
        <c:ser>
          <c:idx val="0"/>
          <c:order val="0"/>
          <c:tx>
            <c:strRef>
              <c:f>'4 - IMR'!$B$1</c:f>
              <c:strCache>
                <c:ptCount val="1"/>
                <c:pt idx="0">
                  <c:v>1990</c:v>
                </c:pt>
              </c:strCache>
            </c:strRef>
          </c:tx>
          <c:invertIfNegative val="0"/>
          <c:cat>
            <c:strRef>
              <c:f>'4 - IMR'!$A$2:$A$55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SADR</c:v>
                </c:pt>
                <c:pt idx="39">
                  <c:v>Sao TomÃ©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'4 - IMR'!$B$2:$B$55</c:f>
              <c:numCache>
                <c:formatCode>General</c:formatCode>
                <c:ptCount val="54"/>
                <c:pt idx="0">
                  <c:v>39.9</c:v>
                </c:pt>
                <c:pt idx="1">
                  <c:v>133.4</c:v>
                </c:pt>
                <c:pt idx="2">
                  <c:v>107.9</c:v>
                </c:pt>
                <c:pt idx="3">
                  <c:v>38.9</c:v>
                </c:pt>
                <c:pt idx="4">
                  <c:v>102.5</c:v>
                </c:pt>
                <c:pt idx="5">
                  <c:v>103.4</c:v>
                </c:pt>
                <c:pt idx="6">
                  <c:v>84.8</c:v>
                </c:pt>
                <c:pt idx="7">
                  <c:v>48.4</c:v>
                </c:pt>
                <c:pt idx="8">
                  <c:v>115.3</c:v>
                </c:pt>
                <c:pt idx="9">
                  <c:v>115.9</c:v>
                </c:pt>
                <c:pt idx="10">
                  <c:v>88.1</c:v>
                </c:pt>
                <c:pt idx="11">
                  <c:v>60.1</c:v>
                </c:pt>
                <c:pt idx="12">
                  <c:v>92.1</c:v>
                </c:pt>
                <c:pt idx="13">
                  <c:v>114.7</c:v>
                </c:pt>
                <c:pt idx="14">
                  <c:v>62.5</c:v>
                </c:pt>
                <c:pt idx="15">
                  <c:v>124.4</c:v>
                </c:pt>
                <c:pt idx="16">
                  <c:v>92.6</c:v>
                </c:pt>
                <c:pt idx="17">
                  <c:v>121.8</c:v>
                </c:pt>
                <c:pt idx="18">
                  <c:v>60.3</c:v>
                </c:pt>
                <c:pt idx="19">
                  <c:v>79.900000000000006</c:v>
                </c:pt>
                <c:pt idx="20">
                  <c:v>80.3</c:v>
                </c:pt>
                <c:pt idx="21">
                  <c:v>140.4</c:v>
                </c:pt>
                <c:pt idx="22">
                  <c:v>132.80000000000001</c:v>
                </c:pt>
                <c:pt idx="23">
                  <c:v>104.3</c:v>
                </c:pt>
                <c:pt idx="24">
                  <c:v>63.9</c:v>
                </c:pt>
                <c:pt idx="25">
                  <c:v>69.5</c:v>
                </c:pt>
                <c:pt idx="26">
                  <c:v>165.3</c:v>
                </c:pt>
                <c:pt idx="27">
                  <c:v>36.200000000000003</c:v>
                </c:pt>
                <c:pt idx="28">
                  <c:v>98.1</c:v>
                </c:pt>
                <c:pt idx="29">
                  <c:v>143.4</c:v>
                </c:pt>
                <c:pt idx="30">
                  <c:v>130.5</c:v>
                </c:pt>
                <c:pt idx="31">
                  <c:v>77.8</c:v>
                </c:pt>
                <c:pt idx="32">
                  <c:v>19.899999999999999</c:v>
                </c:pt>
                <c:pt idx="33">
                  <c:v>158</c:v>
                </c:pt>
                <c:pt idx="34">
                  <c:v>49.6</c:v>
                </c:pt>
                <c:pt idx="35">
                  <c:v>137.69999999999999</c:v>
                </c:pt>
                <c:pt idx="36">
                  <c:v>126.3</c:v>
                </c:pt>
                <c:pt idx="37">
                  <c:v>92.8</c:v>
                </c:pt>
                <c:pt idx="39">
                  <c:v>70.3</c:v>
                </c:pt>
                <c:pt idx="40">
                  <c:v>70.5</c:v>
                </c:pt>
                <c:pt idx="41">
                  <c:v>14.2</c:v>
                </c:pt>
                <c:pt idx="42">
                  <c:v>158.1</c:v>
                </c:pt>
                <c:pt idx="43">
                  <c:v>108.1</c:v>
                </c:pt>
                <c:pt idx="44">
                  <c:v>47</c:v>
                </c:pt>
                <c:pt idx="45">
                  <c:v>149.5</c:v>
                </c:pt>
                <c:pt idx="46">
                  <c:v>80.2</c:v>
                </c:pt>
                <c:pt idx="47">
                  <c:v>55.4</c:v>
                </c:pt>
                <c:pt idx="48">
                  <c:v>101.3</c:v>
                </c:pt>
                <c:pt idx="49">
                  <c:v>90.3</c:v>
                </c:pt>
                <c:pt idx="50">
                  <c:v>41</c:v>
                </c:pt>
                <c:pt idx="51">
                  <c:v>107.2</c:v>
                </c:pt>
                <c:pt idx="52">
                  <c:v>114.5</c:v>
                </c:pt>
                <c:pt idx="53">
                  <c:v>50.4</c:v>
                </c:pt>
              </c:numCache>
            </c:numRef>
          </c:val>
        </c:ser>
        <c:ser>
          <c:idx val="1"/>
          <c:order val="1"/>
          <c:tx>
            <c:strRef>
              <c:f>'4 - IMR'!$C$1</c:f>
              <c:strCache>
                <c:ptCount val="1"/>
                <c:pt idx="0">
                  <c:v>2010</c:v>
                </c:pt>
              </c:strCache>
            </c:strRef>
          </c:tx>
          <c:invertIfNegative val="0"/>
          <c:cat>
            <c:strRef>
              <c:f>'4 - IMR'!$A$2:$A$55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SADR</c:v>
                </c:pt>
                <c:pt idx="39">
                  <c:v>Sao TomÃ©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'4 - IMR'!$C$2:$C$55</c:f>
              <c:numCache>
                <c:formatCode>General</c:formatCode>
                <c:ptCount val="54"/>
                <c:pt idx="0">
                  <c:v>23.5</c:v>
                </c:pt>
                <c:pt idx="1">
                  <c:v>109.6</c:v>
                </c:pt>
                <c:pt idx="2">
                  <c:v>62.1</c:v>
                </c:pt>
                <c:pt idx="3">
                  <c:v>39.9</c:v>
                </c:pt>
                <c:pt idx="4">
                  <c:v>70</c:v>
                </c:pt>
                <c:pt idx="5">
                  <c:v>60.9</c:v>
                </c:pt>
                <c:pt idx="6">
                  <c:v>66</c:v>
                </c:pt>
                <c:pt idx="7">
                  <c:v>23.3</c:v>
                </c:pt>
                <c:pt idx="8">
                  <c:v>102.7</c:v>
                </c:pt>
                <c:pt idx="9">
                  <c:v>93.7</c:v>
                </c:pt>
                <c:pt idx="10">
                  <c:v>62.8</c:v>
                </c:pt>
                <c:pt idx="11">
                  <c:v>42</c:v>
                </c:pt>
                <c:pt idx="12">
                  <c:v>62.1</c:v>
                </c:pt>
                <c:pt idx="13">
                  <c:v>92.4</c:v>
                </c:pt>
                <c:pt idx="14">
                  <c:v>19.899999999999999</c:v>
                </c:pt>
                <c:pt idx="15">
                  <c:v>75.599999999999994</c:v>
                </c:pt>
                <c:pt idx="16">
                  <c:v>39.4</c:v>
                </c:pt>
                <c:pt idx="17">
                  <c:v>50.7</c:v>
                </c:pt>
                <c:pt idx="18">
                  <c:v>43.2</c:v>
                </c:pt>
                <c:pt idx="19">
                  <c:v>51.8</c:v>
                </c:pt>
                <c:pt idx="20">
                  <c:v>55</c:v>
                </c:pt>
                <c:pt idx="21">
                  <c:v>71.400000000000006</c:v>
                </c:pt>
                <c:pt idx="22">
                  <c:v>84.5</c:v>
                </c:pt>
                <c:pt idx="23">
                  <c:v>76.900000000000006</c:v>
                </c:pt>
                <c:pt idx="24">
                  <c:v>52</c:v>
                </c:pt>
                <c:pt idx="25">
                  <c:v>76.900000000000006</c:v>
                </c:pt>
                <c:pt idx="26">
                  <c:v>60.4</c:v>
                </c:pt>
                <c:pt idx="27">
                  <c:v>14.3</c:v>
                </c:pt>
                <c:pt idx="28">
                  <c:v>43.6</c:v>
                </c:pt>
                <c:pt idx="29">
                  <c:v>52.5</c:v>
                </c:pt>
                <c:pt idx="30">
                  <c:v>83.1</c:v>
                </c:pt>
                <c:pt idx="31">
                  <c:v>70.2</c:v>
                </c:pt>
                <c:pt idx="32">
                  <c:v>13.3</c:v>
                </c:pt>
                <c:pt idx="33">
                  <c:v>71.8</c:v>
                </c:pt>
                <c:pt idx="34">
                  <c:v>37.5</c:v>
                </c:pt>
                <c:pt idx="35">
                  <c:v>66.099999999999994</c:v>
                </c:pt>
                <c:pt idx="36">
                  <c:v>81.900000000000006</c:v>
                </c:pt>
                <c:pt idx="37">
                  <c:v>43.6</c:v>
                </c:pt>
                <c:pt idx="39">
                  <c:v>40</c:v>
                </c:pt>
                <c:pt idx="40">
                  <c:v>47.2</c:v>
                </c:pt>
                <c:pt idx="41">
                  <c:v>12.3</c:v>
                </c:pt>
                <c:pt idx="42">
                  <c:v>114.4</c:v>
                </c:pt>
                <c:pt idx="43">
                  <c:v>97.1</c:v>
                </c:pt>
                <c:pt idx="44">
                  <c:v>35.200000000000003</c:v>
                </c:pt>
                <c:pt idx="45">
                  <c:v>70.599999999999994</c:v>
                </c:pt>
                <c:pt idx="46">
                  <c:v>55.1</c:v>
                </c:pt>
                <c:pt idx="47">
                  <c:v>62.5</c:v>
                </c:pt>
                <c:pt idx="48">
                  <c:v>41.4</c:v>
                </c:pt>
                <c:pt idx="49">
                  <c:v>60.5</c:v>
                </c:pt>
                <c:pt idx="50">
                  <c:v>14.9</c:v>
                </c:pt>
                <c:pt idx="51">
                  <c:v>51.3</c:v>
                </c:pt>
                <c:pt idx="52">
                  <c:v>63.5</c:v>
                </c:pt>
                <c:pt idx="53">
                  <c:v>58.7</c:v>
                </c:pt>
              </c:numCache>
            </c:numRef>
          </c:val>
        </c:ser>
        <c:ser>
          <c:idx val="2"/>
          <c:order val="2"/>
          <c:tx>
            <c:strRef>
              <c:f>'4 - IMR'!$D$1</c:f>
              <c:strCache>
                <c:ptCount val="1"/>
                <c:pt idx="0">
                  <c:v>2011</c:v>
                </c:pt>
              </c:strCache>
            </c:strRef>
          </c:tx>
          <c:invertIfNegative val="0"/>
          <c:cat>
            <c:strRef>
              <c:f>'4 - IMR'!$A$2:$A$55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SADR</c:v>
                </c:pt>
                <c:pt idx="39">
                  <c:v>Sao TomÃ©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'4 - IMR'!$D$2:$D$55</c:f>
              <c:numCache>
                <c:formatCode>General</c:formatCode>
                <c:ptCount val="54"/>
                <c:pt idx="0">
                  <c:v>22.8</c:v>
                </c:pt>
                <c:pt idx="1">
                  <c:v>107</c:v>
                </c:pt>
                <c:pt idx="2">
                  <c:v>60</c:v>
                </c:pt>
                <c:pt idx="3">
                  <c:v>39.1</c:v>
                </c:pt>
                <c:pt idx="4">
                  <c:v>67.7</c:v>
                </c:pt>
                <c:pt idx="5">
                  <c:v>58.7</c:v>
                </c:pt>
                <c:pt idx="6">
                  <c:v>64.3</c:v>
                </c:pt>
                <c:pt idx="7">
                  <c:v>22.9</c:v>
                </c:pt>
                <c:pt idx="8">
                  <c:v>100.1</c:v>
                </c:pt>
                <c:pt idx="9">
                  <c:v>91.9</c:v>
                </c:pt>
                <c:pt idx="10">
                  <c:v>61</c:v>
                </c:pt>
                <c:pt idx="11">
                  <c:v>39.4</c:v>
                </c:pt>
                <c:pt idx="12">
                  <c:v>60.5</c:v>
                </c:pt>
                <c:pt idx="13">
                  <c:v>90.2</c:v>
                </c:pt>
                <c:pt idx="14">
                  <c:v>19.399999999999999</c:v>
                </c:pt>
                <c:pt idx="15">
                  <c:v>73.400000000000006</c:v>
                </c:pt>
                <c:pt idx="16">
                  <c:v>38.200000000000003</c:v>
                </c:pt>
                <c:pt idx="17">
                  <c:v>48.2</c:v>
                </c:pt>
                <c:pt idx="18">
                  <c:v>41.6</c:v>
                </c:pt>
                <c:pt idx="19">
                  <c:v>51</c:v>
                </c:pt>
                <c:pt idx="20">
                  <c:v>54.2</c:v>
                </c:pt>
                <c:pt idx="21">
                  <c:v>69</c:v>
                </c:pt>
                <c:pt idx="22">
                  <c:v>82.2</c:v>
                </c:pt>
                <c:pt idx="23">
                  <c:v>75.2</c:v>
                </c:pt>
                <c:pt idx="24">
                  <c:v>50</c:v>
                </c:pt>
                <c:pt idx="25">
                  <c:v>72.8</c:v>
                </c:pt>
                <c:pt idx="26">
                  <c:v>57.9</c:v>
                </c:pt>
                <c:pt idx="27">
                  <c:v>13.6</c:v>
                </c:pt>
                <c:pt idx="28">
                  <c:v>42.2</c:v>
                </c:pt>
                <c:pt idx="29">
                  <c:v>49</c:v>
                </c:pt>
                <c:pt idx="30">
                  <c:v>81.099999999999994</c:v>
                </c:pt>
                <c:pt idx="31">
                  <c:v>69.2</c:v>
                </c:pt>
                <c:pt idx="32">
                  <c:v>13</c:v>
                </c:pt>
                <c:pt idx="33">
                  <c:v>67.8</c:v>
                </c:pt>
                <c:pt idx="34">
                  <c:v>36.1</c:v>
                </c:pt>
                <c:pt idx="35">
                  <c:v>63.7</c:v>
                </c:pt>
                <c:pt idx="36">
                  <c:v>79.2</c:v>
                </c:pt>
                <c:pt idx="37">
                  <c:v>40.700000000000003</c:v>
                </c:pt>
                <c:pt idx="39">
                  <c:v>38.800000000000004</c:v>
                </c:pt>
                <c:pt idx="40">
                  <c:v>45.9</c:v>
                </c:pt>
                <c:pt idx="41">
                  <c:v>12.3</c:v>
                </c:pt>
                <c:pt idx="42">
                  <c:v>112</c:v>
                </c:pt>
                <c:pt idx="43">
                  <c:v>94.8</c:v>
                </c:pt>
                <c:pt idx="44">
                  <c:v>34.4</c:v>
                </c:pt>
                <c:pt idx="45">
                  <c:v>68.3</c:v>
                </c:pt>
                <c:pt idx="46">
                  <c:v>53.8</c:v>
                </c:pt>
                <c:pt idx="47">
                  <c:v>58.3</c:v>
                </c:pt>
                <c:pt idx="48">
                  <c:v>39.200000000000003</c:v>
                </c:pt>
                <c:pt idx="49">
                  <c:v>59</c:v>
                </c:pt>
                <c:pt idx="50">
                  <c:v>14.2</c:v>
                </c:pt>
                <c:pt idx="51">
                  <c:v>48.8</c:v>
                </c:pt>
                <c:pt idx="52">
                  <c:v>59.3</c:v>
                </c:pt>
                <c:pt idx="53">
                  <c:v>57.9</c:v>
                </c:pt>
              </c:numCache>
            </c:numRef>
          </c:val>
        </c:ser>
        <c:ser>
          <c:idx val="3"/>
          <c:order val="3"/>
          <c:tx>
            <c:strRef>
              <c:f>'4 - IMR'!$E$1</c:f>
              <c:strCache>
                <c:ptCount val="1"/>
                <c:pt idx="0">
                  <c:v>2012</c:v>
                </c:pt>
              </c:strCache>
            </c:strRef>
          </c:tx>
          <c:invertIfNegative val="0"/>
          <c:cat>
            <c:strRef>
              <c:f>'4 - IMR'!$A$2:$A$55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SADR</c:v>
                </c:pt>
                <c:pt idx="39">
                  <c:v>Sao TomÃ©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'4 - IMR'!$E$2:$E$55</c:f>
              <c:numCache>
                <c:formatCode>General</c:formatCode>
                <c:ptCount val="54"/>
                <c:pt idx="0">
                  <c:v>22.2</c:v>
                </c:pt>
                <c:pt idx="1">
                  <c:v>104.3</c:v>
                </c:pt>
                <c:pt idx="2">
                  <c:v>58</c:v>
                </c:pt>
                <c:pt idx="3">
                  <c:v>37.1</c:v>
                </c:pt>
                <c:pt idx="4">
                  <c:v>65.7</c:v>
                </c:pt>
                <c:pt idx="5">
                  <c:v>56.6</c:v>
                </c:pt>
                <c:pt idx="6">
                  <c:v>62.4</c:v>
                </c:pt>
                <c:pt idx="7">
                  <c:v>22.4</c:v>
                </c:pt>
                <c:pt idx="8">
                  <c:v>97.9</c:v>
                </c:pt>
                <c:pt idx="9">
                  <c:v>90.2</c:v>
                </c:pt>
                <c:pt idx="10">
                  <c:v>59.4</c:v>
                </c:pt>
                <c:pt idx="11">
                  <c:v>37.300000000000004</c:v>
                </c:pt>
                <c:pt idx="12">
                  <c:v>59</c:v>
                </c:pt>
                <c:pt idx="13">
                  <c:v>88.1</c:v>
                </c:pt>
                <c:pt idx="14">
                  <c:v>19</c:v>
                </c:pt>
                <c:pt idx="15">
                  <c:v>71.3</c:v>
                </c:pt>
                <c:pt idx="16">
                  <c:v>37.1</c:v>
                </c:pt>
                <c:pt idx="17">
                  <c:v>46.2</c:v>
                </c:pt>
                <c:pt idx="18">
                  <c:v>40</c:v>
                </c:pt>
                <c:pt idx="19">
                  <c:v>50.2</c:v>
                </c:pt>
                <c:pt idx="20">
                  <c:v>53.3</c:v>
                </c:pt>
                <c:pt idx="21">
                  <c:v>67</c:v>
                </c:pt>
                <c:pt idx="22">
                  <c:v>80.099999999999994</c:v>
                </c:pt>
                <c:pt idx="23">
                  <c:v>73.2</c:v>
                </c:pt>
                <c:pt idx="24">
                  <c:v>48.8</c:v>
                </c:pt>
                <c:pt idx="25">
                  <c:v>74.2</c:v>
                </c:pt>
                <c:pt idx="26">
                  <c:v>55.6</c:v>
                </c:pt>
                <c:pt idx="27">
                  <c:v>13</c:v>
                </c:pt>
                <c:pt idx="28">
                  <c:v>40.800000000000004</c:v>
                </c:pt>
                <c:pt idx="29">
                  <c:v>45.7</c:v>
                </c:pt>
                <c:pt idx="30">
                  <c:v>79.400000000000006</c:v>
                </c:pt>
                <c:pt idx="31">
                  <c:v>68.2</c:v>
                </c:pt>
                <c:pt idx="32">
                  <c:v>12.8</c:v>
                </c:pt>
                <c:pt idx="33">
                  <c:v>63.6</c:v>
                </c:pt>
                <c:pt idx="34">
                  <c:v>35.6</c:v>
                </c:pt>
                <c:pt idx="35">
                  <c:v>61.6</c:v>
                </c:pt>
                <c:pt idx="36">
                  <c:v>76.599999999999994</c:v>
                </c:pt>
                <c:pt idx="37">
                  <c:v>38.800000000000004</c:v>
                </c:pt>
                <c:pt idx="39">
                  <c:v>37.700000000000003</c:v>
                </c:pt>
                <c:pt idx="40">
                  <c:v>44.8</c:v>
                </c:pt>
                <c:pt idx="41">
                  <c:v>12.3</c:v>
                </c:pt>
                <c:pt idx="42">
                  <c:v>109.6</c:v>
                </c:pt>
                <c:pt idx="43">
                  <c:v>92.3</c:v>
                </c:pt>
                <c:pt idx="44">
                  <c:v>33.5</c:v>
                </c:pt>
                <c:pt idx="45">
                  <c:v>66.099999999999994</c:v>
                </c:pt>
                <c:pt idx="46">
                  <c:v>52.5</c:v>
                </c:pt>
                <c:pt idx="47">
                  <c:v>57</c:v>
                </c:pt>
                <c:pt idx="48">
                  <c:v>37.700000000000003</c:v>
                </c:pt>
                <c:pt idx="49">
                  <c:v>57.4</c:v>
                </c:pt>
                <c:pt idx="50">
                  <c:v>13.6</c:v>
                </c:pt>
                <c:pt idx="51">
                  <c:v>45.4</c:v>
                </c:pt>
                <c:pt idx="52">
                  <c:v>57.1</c:v>
                </c:pt>
                <c:pt idx="53">
                  <c:v>55</c:v>
                </c:pt>
              </c:numCache>
            </c:numRef>
          </c:val>
        </c:ser>
        <c:ser>
          <c:idx val="4"/>
          <c:order val="4"/>
          <c:tx>
            <c:strRef>
              <c:f>'4 - IMR'!$F$1</c:f>
              <c:strCache>
                <c:ptCount val="1"/>
                <c:pt idx="0">
                  <c:v>2013</c:v>
                </c:pt>
              </c:strCache>
            </c:strRef>
          </c:tx>
          <c:invertIfNegative val="0"/>
          <c:cat>
            <c:strRef>
              <c:f>'4 - IMR'!$A$2:$A$55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SADR</c:v>
                </c:pt>
                <c:pt idx="39">
                  <c:v>Sao TomÃ©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'4 - IMR'!$F$2:$F$55</c:f>
              <c:numCache>
                <c:formatCode>General</c:formatCode>
                <c:ptCount val="54"/>
                <c:pt idx="0">
                  <c:v>21.6</c:v>
                </c:pt>
                <c:pt idx="1">
                  <c:v>101.6</c:v>
                </c:pt>
                <c:pt idx="2">
                  <c:v>56.2</c:v>
                </c:pt>
                <c:pt idx="3">
                  <c:v>36.300000000000004</c:v>
                </c:pt>
                <c:pt idx="4">
                  <c:v>64.099999999999994</c:v>
                </c:pt>
                <c:pt idx="5">
                  <c:v>54.8</c:v>
                </c:pt>
                <c:pt idx="6">
                  <c:v>60.8</c:v>
                </c:pt>
                <c:pt idx="7">
                  <c:v>21.9</c:v>
                </c:pt>
                <c:pt idx="8">
                  <c:v>96.1</c:v>
                </c:pt>
                <c:pt idx="9">
                  <c:v>88.5</c:v>
                </c:pt>
                <c:pt idx="10">
                  <c:v>57.9</c:v>
                </c:pt>
                <c:pt idx="11">
                  <c:v>35.6</c:v>
                </c:pt>
                <c:pt idx="12">
                  <c:v>57.4</c:v>
                </c:pt>
                <c:pt idx="13">
                  <c:v>86.1</c:v>
                </c:pt>
                <c:pt idx="14">
                  <c:v>18.600000000000001</c:v>
                </c:pt>
                <c:pt idx="15">
                  <c:v>69.3</c:v>
                </c:pt>
                <c:pt idx="16">
                  <c:v>36.1</c:v>
                </c:pt>
                <c:pt idx="17">
                  <c:v>44.4</c:v>
                </c:pt>
                <c:pt idx="18">
                  <c:v>39.1</c:v>
                </c:pt>
                <c:pt idx="19">
                  <c:v>49.4</c:v>
                </c:pt>
                <c:pt idx="20">
                  <c:v>52.3</c:v>
                </c:pt>
                <c:pt idx="21">
                  <c:v>64.900000000000006</c:v>
                </c:pt>
                <c:pt idx="22">
                  <c:v>77.900000000000006</c:v>
                </c:pt>
                <c:pt idx="23">
                  <c:v>71.3</c:v>
                </c:pt>
                <c:pt idx="24">
                  <c:v>47.5</c:v>
                </c:pt>
                <c:pt idx="25">
                  <c:v>73</c:v>
                </c:pt>
                <c:pt idx="26">
                  <c:v>53.6</c:v>
                </c:pt>
                <c:pt idx="27">
                  <c:v>12.4</c:v>
                </c:pt>
                <c:pt idx="28">
                  <c:v>39.6</c:v>
                </c:pt>
                <c:pt idx="29">
                  <c:v>44.2</c:v>
                </c:pt>
                <c:pt idx="30">
                  <c:v>77.599999999999994</c:v>
                </c:pt>
                <c:pt idx="31">
                  <c:v>67.099999999999994</c:v>
                </c:pt>
                <c:pt idx="32">
                  <c:v>12.5</c:v>
                </c:pt>
                <c:pt idx="33">
                  <c:v>61.5</c:v>
                </c:pt>
                <c:pt idx="34">
                  <c:v>35.200000000000003</c:v>
                </c:pt>
                <c:pt idx="35">
                  <c:v>59.9</c:v>
                </c:pt>
                <c:pt idx="36">
                  <c:v>74.3</c:v>
                </c:pt>
                <c:pt idx="37">
                  <c:v>37.1</c:v>
                </c:pt>
                <c:pt idx="39">
                  <c:v>36.700000000000003</c:v>
                </c:pt>
                <c:pt idx="40">
                  <c:v>43.9</c:v>
                </c:pt>
                <c:pt idx="41">
                  <c:v>12.2</c:v>
                </c:pt>
                <c:pt idx="42">
                  <c:v>107.2</c:v>
                </c:pt>
                <c:pt idx="43">
                  <c:v>89.8</c:v>
                </c:pt>
                <c:pt idx="44">
                  <c:v>32.800000000000004</c:v>
                </c:pt>
                <c:pt idx="45">
                  <c:v>64.099999999999994</c:v>
                </c:pt>
                <c:pt idx="46">
                  <c:v>51.2</c:v>
                </c:pt>
                <c:pt idx="47">
                  <c:v>55.9</c:v>
                </c:pt>
                <c:pt idx="48">
                  <c:v>36.4</c:v>
                </c:pt>
                <c:pt idx="49">
                  <c:v>55.8</c:v>
                </c:pt>
                <c:pt idx="50">
                  <c:v>13.1</c:v>
                </c:pt>
                <c:pt idx="51">
                  <c:v>43.8</c:v>
                </c:pt>
                <c:pt idx="52">
                  <c:v>55.8</c:v>
                </c:pt>
                <c:pt idx="53">
                  <c:v>55</c:v>
                </c:pt>
              </c:numCache>
            </c:numRef>
          </c:val>
        </c:ser>
        <c:dLbls>
          <c:showLegendKey val="0"/>
          <c:showVal val="0"/>
          <c:showCatName val="0"/>
          <c:showSerName val="0"/>
          <c:showPercent val="0"/>
          <c:showBubbleSize val="0"/>
        </c:dLbls>
        <c:gapWidth val="150"/>
        <c:axId val="403057960"/>
        <c:axId val="337211896"/>
      </c:barChart>
      <c:catAx>
        <c:axId val="403057960"/>
        <c:scaling>
          <c:orientation val="minMax"/>
        </c:scaling>
        <c:delete val="0"/>
        <c:axPos val="l"/>
        <c:numFmt formatCode="General" sourceLinked="0"/>
        <c:majorTickMark val="out"/>
        <c:minorTickMark val="none"/>
        <c:tickLblPos val="nextTo"/>
        <c:txPr>
          <a:bodyPr/>
          <a:lstStyle/>
          <a:p>
            <a:pPr>
              <a:defRPr lang="en-US" sz="710" baseline="0"/>
            </a:pPr>
            <a:endParaRPr lang="en-US"/>
          </a:p>
        </c:txPr>
        <c:crossAx val="337211896"/>
        <c:crosses val="autoZero"/>
        <c:auto val="1"/>
        <c:lblAlgn val="ctr"/>
        <c:lblOffset val="100"/>
        <c:noMultiLvlLbl val="0"/>
      </c:catAx>
      <c:valAx>
        <c:axId val="337211896"/>
        <c:scaling>
          <c:orientation val="minMax"/>
        </c:scaling>
        <c:delete val="0"/>
        <c:axPos val="b"/>
        <c:majorGridlines/>
        <c:numFmt formatCode="General" sourceLinked="1"/>
        <c:majorTickMark val="out"/>
        <c:minorTickMark val="none"/>
        <c:tickLblPos val="nextTo"/>
        <c:txPr>
          <a:bodyPr/>
          <a:lstStyle/>
          <a:p>
            <a:pPr>
              <a:defRPr lang="en-US" sz="800"/>
            </a:pPr>
            <a:endParaRPr lang="en-US"/>
          </a:p>
        </c:txPr>
        <c:crossAx val="403057960"/>
        <c:crosses val="autoZero"/>
        <c:crossBetween val="between"/>
      </c:valAx>
    </c:plotArea>
    <c:legend>
      <c:legendPos val="r"/>
      <c:overlay val="0"/>
      <c:txPr>
        <a:bodyPr/>
        <a:lstStyle/>
        <a:p>
          <a:pPr>
            <a:defRPr lang="en-US" sz="8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Causses of Maternal death in Africa</c:v>
                </c:pt>
              </c:strCache>
            </c:strRef>
          </c:tx>
          <c:dLbls>
            <c:numFmt formatCode="0.0%" sourceLinked="0"/>
            <c:spPr>
              <a:noFill/>
              <a:ln>
                <a:noFill/>
              </a:ln>
              <a:effectLst/>
            </c:spPr>
            <c:txPr>
              <a:bodyPr/>
              <a:lstStyle/>
              <a:p>
                <a:pPr>
                  <a:defRPr sz="800"/>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Sheet1!$A$2:$A$8</c:f>
              <c:strCache>
                <c:ptCount val="7"/>
                <c:pt idx="0">
                  <c:v>Postpartum haemorrhage</c:v>
                </c:pt>
                <c:pt idx="1">
                  <c:v>Hypertensive Disorders</c:v>
                </c:pt>
                <c:pt idx="2">
                  <c:v>Pueperal Sepsis</c:v>
                </c:pt>
                <c:pt idx="3">
                  <c:v>Abortion</c:v>
                </c:pt>
                <c:pt idx="4">
                  <c:v>Embolism</c:v>
                </c:pt>
                <c:pt idx="5">
                  <c:v>Other Direct Causes</c:v>
                </c:pt>
                <c:pt idx="6">
                  <c:v>Indirect Causes</c:v>
                </c:pt>
              </c:strCache>
            </c:strRef>
          </c:cat>
          <c:val>
            <c:numRef>
              <c:f>Sheet1!$B$2:$B$8</c:f>
              <c:numCache>
                <c:formatCode>General</c:formatCode>
                <c:ptCount val="7"/>
                <c:pt idx="0">
                  <c:v>27.1</c:v>
                </c:pt>
                <c:pt idx="1">
                  <c:v>14</c:v>
                </c:pt>
                <c:pt idx="2">
                  <c:v>10.7</c:v>
                </c:pt>
                <c:pt idx="3">
                  <c:v>7.9</c:v>
                </c:pt>
                <c:pt idx="4">
                  <c:v>3.2</c:v>
                </c:pt>
                <c:pt idx="5">
                  <c:v>9.6</c:v>
                </c:pt>
                <c:pt idx="6">
                  <c:v>27.5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09677278712255"/>
          <c:y val="1.8675171062132533E-2"/>
          <c:w val="0.66363983571820984"/>
          <c:h val="0.94877992870978489"/>
        </c:manualLayout>
      </c:layout>
      <c:barChart>
        <c:barDir val="bar"/>
        <c:grouping val="clustered"/>
        <c:varyColors val="0"/>
        <c:ser>
          <c:idx val="0"/>
          <c:order val="0"/>
          <c:tx>
            <c:strRef>
              <c:f>'6 - MMR (2)'!$B$1</c:f>
              <c:strCache>
                <c:ptCount val="1"/>
                <c:pt idx="0">
                  <c:v>1990</c:v>
                </c:pt>
              </c:strCache>
            </c:strRef>
          </c:tx>
          <c:invertIfNegative val="0"/>
          <c:cat>
            <c:strRef>
              <c:f>'6 - MMR (2)'!$A$2:$A$55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Sahrawi Arab Democratic Republic</c:v>
                </c:pt>
                <c:pt idx="39">
                  <c:v>Sao Tome and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'6 - MMR (2)'!$B$2:$B$55</c:f>
              <c:numCache>
                <c:formatCode>General</c:formatCode>
                <c:ptCount val="54"/>
                <c:pt idx="0">
                  <c:v>160</c:v>
                </c:pt>
                <c:pt idx="1">
                  <c:v>1400</c:v>
                </c:pt>
                <c:pt idx="2">
                  <c:v>600</c:v>
                </c:pt>
                <c:pt idx="3">
                  <c:v>360</c:v>
                </c:pt>
                <c:pt idx="4">
                  <c:v>770</c:v>
                </c:pt>
                <c:pt idx="5">
                  <c:v>1300</c:v>
                </c:pt>
                <c:pt idx="6">
                  <c:v>720</c:v>
                </c:pt>
                <c:pt idx="7">
                  <c:v>230</c:v>
                </c:pt>
                <c:pt idx="8">
                  <c:v>1200</c:v>
                </c:pt>
                <c:pt idx="9">
                  <c:v>1700</c:v>
                </c:pt>
                <c:pt idx="10">
                  <c:v>630</c:v>
                </c:pt>
                <c:pt idx="11">
                  <c:v>670</c:v>
                </c:pt>
                <c:pt idx="12">
                  <c:v>400</c:v>
                </c:pt>
                <c:pt idx="13">
                  <c:v>1000</c:v>
                </c:pt>
                <c:pt idx="14">
                  <c:v>120</c:v>
                </c:pt>
                <c:pt idx="15">
                  <c:v>1600</c:v>
                </c:pt>
                <c:pt idx="16">
                  <c:v>1700</c:v>
                </c:pt>
                <c:pt idx="17">
                  <c:v>1400</c:v>
                </c:pt>
                <c:pt idx="18">
                  <c:v>380</c:v>
                </c:pt>
                <c:pt idx="19">
                  <c:v>710</c:v>
                </c:pt>
                <c:pt idx="20">
                  <c:v>760</c:v>
                </c:pt>
                <c:pt idx="21">
                  <c:v>1100</c:v>
                </c:pt>
                <c:pt idx="22">
                  <c:v>930</c:v>
                </c:pt>
                <c:pt idx="23">
                  <c:v>740</c:v>
                </c:pt>
                <c:pt idx="24">
                  <c:v>490</c:v>
                </c:pt>
                <c:pt idx="25">
                  <c:v>720</c:v>
                </c:pt>
                <c:pt idx="26">
                  <c:v>1200</c:v>
                </c:pt>
                <c:pt idx="27">
                  <c:v>31</c:v>
                </c:pt>
                <c:pt idx="28">
                  <c:v>740</c:v>
                </c:pt>
                <c:pt idx="29">
                  <c:v>1100</c:v>
                </c:pt>
                <c:pt idx="30">
                  <c:v>1100</c:v>
                </c:pt>
                <c:pt idx="31">
                  <c:v>630</c:v>
                </c:pt>
                <c:pt idx="32">
                  <c:v>70</c:v>
                </c:pt>
                <c:pt idx="33">
                  <c:v>1300</c:v>
                </c:pt>
                <c:pt idx="34">
                  <c:v>320</c:v>
                </c:pt>
                <c:pt idx="35">
                  <c:v>1000</c:v>
                </c:pt>
                <c:pt idx="36">
                  <c:v>1200</c:v>
                </c:pt>
                <c:pt idx="37">
                  <c:v>1400</c:v>
                </c:pt>
                <c:pt idx="39">
                  <c:v>410</c:v>
                </c:pt>
                <c:pt idx="40">
                  <c:v>530</c:v>
                </c:pt>
                <c:pt idx="42">
                  <c:v>2300</c:v>
                </c:pt>
                <c:pt idx="43">
                  <c:v>1300</c:v>
                </c:pt>
                <c:pt idx="44">
                  <c:v>150</c:v>
                </c:pt>
                <c:pt idx="45">
                  <c:v>1800</c:v>
                </c:pt>
                <c:pt idx="46">
                  <c:v>720</c:v>
                </c:pt>
                <c:pt idx="47">
                  <c:v>550</c:v>
                </c:pt>
                <c:pt idx="48">
                  <c:v>910</c:v>
                </c:pt>
                <c:pt idx="49">
                  <c:v>660</c:v>
                </c:pt>
                <c:pt idx="50">
                  <c:v>91</c:v>
                </c:pt>
                <c:pt idx="51">
                  <c:v>780</c:v>
                </c:pt>
                <c:pt idx="52">
                  <c:v>580</c:v>
                </c:pt>
                <c:pt idx="53">
                  <c:v>520</c:v>
                </c:pt>
              </c:numCache>
            </c:numRef>
          </c:val>
        </c:ser>
        <c:ser>
          <c:idx val="1"/>
          <c:order val="1"/>
          <c:tx>
            <c:strRef>
              <c:f>'6 - MMR (2)'!$C$1</c:f>
              <c:strCache>
                <c:ptCount val="1"/>
                <c:pt idx="0">
                  <c:v>2010</c:v>
                </c:pt>
              </c:strCache>
            </c:strRef>
          </c:tx>
          <c:invertIfNegative val="0"/>
          <c:cat>
            <c:strRef>
              <c:f>'6 - MMR (2)'!$A$2:$A$55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Sahrawi Arab Democratic Republic</c:v>
                </c:pt>
                <c:pt idx="39">
                  <c:v>Sao Tome and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'6 - MMR (2)'!$C$2:$C$55</c:f>
              <c:numCache>
                <c:formatCode>General</c:formatCode>
                <c:ptCount val="54"/>
                <c:pt idx="0">
                  <c:v>92</c:v>
                </c:pt>
                <c:pt idx="1">
                  <c:v>530</c:v>
                </c:pt>
                <c:pt idx="2">
                  <c:v>370</c:v>
                </c:pt>
                <c:pt idx="3">
                  <c:v>210</c:v>
                </c:pt>
                <c:pt idx="4">
                  <c:v>440</c:v>
                </c:pt>
                <c:pt idx="5">
                  <c:v>820</c:v>
                </c:pt>
                <c:pt idx="6">
                  <c:v>640</c:v>
                </c:pt>
                <c:pt idx="7">
                  <c:v>58</c:v>
                </c:pt>
                <c:pt idx="8">
                  <c:v>960</c:v>
                </c:pt>
                <c:pt idx="9">
                  <c:v>1100</c:v>
                </c:pt>
                <c:pt idx="10">
                  <c:v>380</c:v>
                </c:pt>
                <c:pt idx="11">
                  <c:v>450</c:v>
                </c:pt>
                <c:pt idx="12">
                  <c:v>250</c:v>
                </c:pt>
                <c:pt idx="13">
                  <c:v>810</c:v>
                </c:pt>
                <c:pt idx="14">
                  <c:v>50</c:v>
                </c:pt>
                <c:pt idx="15">
                  <c:v>330</c:v>
                </c:pt>
                <c:pt idx="16">
                  <c:v>450</c:v>
                </c:pt>
                <c:pt idx="17">
                  <c:v>500</c:v>
                </c:pt>
                <c:pt idx="18">
                  <c:v>260</c:v>
                </c:pt>
                <c:pt idx="19">
                  <c:v>460</c:v>
                </c:pt>
                <c:pt idx="20">
                  <c:v>410</c:v>
                </c:pt>
                <c:pt idx="21">
                  <c:v>690</c:v>
                </c:pt>
                <c:pt idx="22">
                  <c:v>600</c:v>
                </c:pt>
                <c:pt idx="23">
                  <c:v>750</c:v>
                </c:pt>
                <c:pt idx="24">
                  <c:v>460</c:v>
                </c:pt>
                <c:pt idx="25">
                  <c:v>540</c:v>
                </c:pt>
                <c:pt idx="26">
                  <c:v>680</c:v>
                </c:pt>
                <c:pt idx="27">
                  <c:v>15</c:v>
                </c:pt>
                <c:pt idx="28">
                  <c:v>480</c:v>
                </c:pt>
                <c:pt idx="29">
                  <c:v>540</c:v>
                </c:pt>
                <c:pt idx="30">
                  <c:v>600</c:v>
                </c:pt>
                <c:pt idx="31">
                  <c:v>360</c:v>
                </c:pt>
                <c:pt idx="32">
                  <c:v>72</c:v>
                </c:pt>
                <c:pt idx="33">
                  <c:v>540</c:v>
                </c:pt>
                <c:pt idx="34">
                  <c:v>160</c:v>
                </c:pt>
                <c:pt idx="35">
                  <c:v>690</c:v>
                </c:pt>
                <c:pt idx="36">
                  <c:v>610</c:v>
                </c:pt>
                <c:pt idx="37">
                  <c:v>390</c:v>
                </c:pt>
                <c:pt idx="39">
                  <c:v>230</c:v>
                </c:pt>
                <c:pt idx="40">
                  <c:v>360</c:v>
                </c:pt>
                <c:pt idx="42">
                  <c:v>1200</c:v>
                </c:pt>
                <c:pt idx="43">
                  <c:v>930</c:v>
                </c:pt>
                <c:pt idx="44">
                  <c:v>140</c:v>
                </c:pt>
                <c:pt idx="45">
                  <c:v>830</c:v>
                </c:pt>
                <c:pt idx="46">
                  <c:v>390</c:v>
                </c:pt>
                <c:pt idx="47">
                  <c:v>350</c:v>
                </c:pt>
                <c:pt idx="48">
                  <c:v>460</c:v>
                </c:pt>
                <c:pt idx="49">
                  <c:v>480</c:v>
                </c:pt>
                <c:pt idx="50">
                  <c:v>48</c:v>
                </c:pt>
                <c:pt idx="51">
                  <c:v>410</c:v>
                </c:pt>
                <c:pt idx="52">
                  <c:v>320</c:v>
                </c:pt>
                <c:pt idx="53">
                  <c:v>610</c:v>
                </c:pt>
              </c:numCache>
            </c:numRef>
          </c:val>
        </c:ser>
        <c:ser>
          <c:idx val="2"/>
          <c:order val="2"/>
          <c:tx>
            <c:strRef>
              <c:f>'6 - MMR (2)'!$D$1</c:f>
              <c:strCache>
                <c:ptCount val="1"/>
                <c:pt idx="0">
                  <c:v>2013</c:v>
                </c:pt>
              </c:strCache>
            </c:strRef>
          </c:tx>
          <c:spPr>
            <a:ln w="19050"/>
          </c:spPr>
          <c:invertIfNegative val="0"/>
          <c:cat>
            <c:strRef>
              <c:f>'6 - MMR (2)'!$A$2:$A$55</c:f>
              <c:strCache>
                <c:ptCount val="54"/>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Djibouti</c:v>
                </c:pt>
                <c:pt idx="13">
                  <c:v>DRC</c:v>
                </c:pt>
                <c:pt idx="14">
                  <c:v>Egypt</c:v>
                </c:pt>
                <c:pt idx="15">
                  <c:v>Equatorial Guinea</c:v>
                </c:pt>
                <c:pt idx="16">
                  <c:v>Eritrea </c:v>
                </c:pt>
                <c:pt idx="17">
                  <c:v>Ethiopia</c:v>
                </c:pt>
                <c:pt idx="18">
                  <c:v>Gabon</c:v>
                </c:pt>
                <c:pt idx="19">
                  <c:v>Gambia</c:v>
                </c:pt>
                <c:pt idx="20">
                  <c:v>Ghana</c:v>
                </c:pt>
                <c:pt idx="21">
                  <c:v>Guinea</c:v>
                </c:pt>
                <c:pt idx="22">
                  <c:v>Guinea-Bissau</c:v>
                </c:pt>
                <c:pt idx="23">
                  <c:v>Ivory Coast</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Namibia</c:v>
                </c:pt>
                <c:pt idx="35">
                  <c:v>Niger</c:v>
                </c:pt>
                <c:pt idx="36">
                  <c:v>Nigeria</c:v>
                </c:pt>
                <c:pt idx="37">
                  <c:v>Rwanda</c:v>
                </c:pt>
                <c:pt idx="38">
                  <c:v>Sahrawi Arab Democratic Republic</c:v>
                </c:pt>
                <c:pt idx="39">
                  <c:v>Sao Tome and Principe</c:v>
                </c:pt>
                <c:pt idx="40">
                  <c:v>Senegal</c:v>
                </c:pt>
                <c:pt idx="41">
                  <c:v>Seychelles</c:v>
                </c:pt>
                <c:pt idx="42">
                  <c:v>Sierra Leone</c:v>
                </c:pt>
                <c:pt idx="43">
                  <c:v>Somalia</c:v>
                </c:pt>
                <c:pt idx="44">
                  <c:v>South Africa</c:v>
                </c:pt>
                <c:pt idx="45">
                  <c:v>South Sudan</c:v>
                </c:pt>
                <c:pt idx="46">
                  <c:v>Sudan</c:v>
                </c:pt>
                <c:pt idx="47">
                  <c:v>Swaziland</c:v>
                </c:pt>
                <c:pt idx="48">
                  <c:v>Tanzania</c:v>
                </c:pt>
                <c:pt idx="49">
                  <c:v>Togo</c:v>
                </c:pt>
                <c:pt idx="50">
                  <c:v>Tunisia</c:v>
                </c:pt>
                <c:pt idx="51">
                  <c:v>Uganda</c:v>
                </c:pt>
                <c:pt idx="52">
                  <c:v>Zambia</c:v>
                </c:pt>
                <c:pt idx="53">
                  <c:v>Zimbabwe</c:v>
                </c:pt>
              </c:strCache>
            </c:strRef>
          </c:cat>
          <c:val>
            <c:numRef>
              <c:f>'6 - MMR (2)'!$D$2:$D$55</c:f>
              <c:numCache>
                <c:formatCode>General</c:formatCode>
                <c:ptCount val="54"/>
                <c:pt idx="0">
                  <c:v>89</c:v>
                </c:pt>
                <c:pt idx="1">
                  <c:v>460</c:v>
                </c:pt>
                <c:pt idx="2">
                  <c:v>340</c:v>
                </c:pt>
                <c:pt idx="3">
                  <c:v>170</c:v>
                </c:pt>
                <c:pt idx="4">
                  <c:v>400</c:v>
                </c:pt>
                <c:pt idx="5">
                  <c:v>740</c:v>
                </c:pt>
                <c:pt idx="6">
                  <c:v>590</c:v>
                </c:pt>
                <c:pt idx="7">
                  <c:v>53</c:v>
                </c:pt>
                <c:pt idx="8">
                  <c:v>880</c:v>
                </c:pt>
                <c:pt idx="9">
                  <c:v>980</c:v>
                </c:pt>
                <c:pt idx="10">
                  <c:v>350</c:v>
                </c:pt>
                <c:pt idx="11">
                  <c:v>410</c:v>
                </c:pt>
                <c:pt idx="12">
                  <c:v>230</c:v>
                </c:pt>
                <c:pt idx="13">
                  <c:v>730</c:v>
                </c:pt>
                <c:pt idx="14">
                  <c:v>45</c:v>
                </c:pt>
                <c:pt idx="15">
                  <c:v>290</c:v>
                </c:pt>
                <c:pt idx="16">
                  <c:v>380</c:v>
                </c:pt>
                <c:pt idx="17">
                  <c:v>420</c:v>
                </c:pt>
                <c:pt idx="18">
                  <c:v>240</c:v>
                </c:pt>
                <c:pt idx="19">
                  <c:v>430</c:v>
                </c:pt>
                <c:pt idx="20">
                  <c:v>380</c:v>
                </c:pt>
                <c:pt idx="21">
                  <c:v>650</c:v>
                </c:pt>
                <c:pt idx="22">
                  <c:v>560</c:v>
                </c:pt>
                <c:pt idx="23">
                  <c:v>720</c:v>
                </c:pt>
                <c:pt idx="24">
                  <c:v>400</c:v>
                </c:pt>
                <c:pt idx="25">
                  <c:v>490</c:v>
                </c:pt>
                <c:pt idx="26">
                  <c:v>640</c:v>
                </c:pt>
                <c:pt idx="27">
                  <c:v>15</c:v>
                </c:pt>
                <c:pt idx="28">
                  <c:v>440</c:v>
                </c:pt>
                <c:pt idx="29">
                  <c:v>510</c:v>
                </c:pt>
                <c:pt idx="30">
                  <c:v>550</c:v>
                </c:pt>
                <c:pt idx="31">
                  <c:v>320</c:v>
                </c:pt>
                <c:pt idx="32">
                  <c:v>73</c:v>
                </c:pt>
                <c:pt idx="33">
                  <c:v>480</c:v>
                </c:pt>
                <c:pt idx="34">
                  <c:v>130</c:v>
                </c:pt>
                <c:pt idx="35">
                  <c:v>630</c:v>
                </c:pt>
                <c:pt idx="36">
                  <c:v>560</c:v>
                </c:pt>
                <c:pt idx="37">
                  <c:v>320</c:v>
                </c:pt>
                <c:pt idx="39">
                  <c:v>210</c:v>
                </c:pt>
                <c:pt idx="40">
                  <c:v>320</c:v>
                </c:pt>
                <c:pt idx="42">
                  <c:v>1100</c:v>
                </c:pt>
                <c:pt idx="43">
                  <c:v>850</c:v>
                </c:pt>
                <c:pt idx="44">
                  <c:v>140</c:v>
                </c:pt>
                <c:pt idx="45">
                  <c:v>730</c:v>
                </c:pt>
                <c:pt idx="46">
                  <c:v>360</c:v>
                </c:pt>
                <c:pt idx="47">
                  <c:v>310</c:v>
                </c:pt>
                <c:pt idx="48">
                  <c:v>410</c:v>
                </c:pt>
                <c:pt idx="49">
                  <c:v>450</c:v>
                </c:pt>
                <c:pt idx="50">
                  <c:v>46</c:v>
                </c:pt>
                <c:pt idx="51">
                  <c:v>360</c:v>
                </c:pt>
                <c:pt idx="52">
                  <c:v>280</c:v>
                </c:pt>
                <c:pt idx="53">
                  <c:v>470</c:v>
                </c:pt>
              </c:numCache>
            </c:numRef>
          </c:val>
        </c:ser>
        <c:dLbls>
          <c:showLegendKey val="0"/>
          <c:showVal val="0"/>
          <c:showCatName val="0"/>
          <c:showSerName val="0"/>
          <c:showPercent val="0"/>
          <c:showBubbleSize val="0"/>
        </c:dLbls>
        <c:gapWidth val="40"/>
        <c:axId val="337209936"/>
        <c:axId val="337211112"/>
      </c:barChart>
      <c:catAx>
        <c:axId val="337209936"/>
        <c:scaling>
          <c:orientation val="minMax"/>
        </c:scaling>
        <c:delete val="0"/>
        <c:axPos val="l"/>
        <c:numFmt formatCode="General" sourceLinked="0"/>
        <c:majorTickMark val="out"/>
        <c:minorTickMark val="none"/>
        <c:tickLblPos val="nextTo"/>
        <c:txPr>
          <a:bodyPr/>
          <a:lstStyle/>
          <a:p>
            <a:pPr>
              <a:defRPr lang="en-US" sz="800"/>
            </a:pPr>
            <a:endParaRPr lang="en-US"/>
          </a:p>
        </c:txPr>
        <c:crossAx val="337211112"/>
        <c:crosses val="autoZero"/>
        <c:auto val="1"/>
        <c:lblAlgn val="ctr"/>
        <c:lblOffset val="100"/>
        <c:noMultiLvlLbl val="0"/>
      </c:catAx>
      <c:valAx>
        <c:axId val="337211112"/>
        <c:scaling>
          <c:orientation val="minMax"/>
        </c:scaling>
        <c:delete val="0"/>
        <c:axPos val="b"/>
        <c:majorGridlines/>
        <c:numFmt formatCode="General" sourceLinked="1"/>
        <c:majorTickMark val="out"/>
        <c:minorTickMark val="none"/>
        <c:tickLblPos val="nextTo"/>
        <c:txPr>
          <a:bodyPr/>
          <a:lstStyle/>
          <a:p>
            <a:pPr>
              <a:defRPr lang="en-US"/>
            </a:pPr>
            <a:endParaRPr lang="en-US"/>
          </a:p>
        </c:txPr>
        <c:crossAx val="337209936"/>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Sheet5!$B$3:$B$5</c:f>
              <c:strCache>
                <c:ptCount val="3"/>
                <c:pt idx="0">
                  <c:v>Under 50%</c:v>
                </c:pt>
                <c:pt idx="1">
                  <c:v>50 - 75%</c:v>
                </c:pt>
                <c:pt idx="2">
                  <c:v>Above 75%</c:v>
                </c:pt>
              </c:strCache>
            </c:strRef>
          </c:cat>
          <c:val>
            <c:numRef>
              <c:f>Sheet5!$C$3:$C$5</c:f>
              <c:numCache>
                <c:formatCode>General</c:formatCode>
                <c:ptCount val="3"/>
                <c:pt idx="0">
                  <c:v>16</c:v>
                </c:pt>
                <c:pt idx="1">
                  <c:v>20</c:v>
                </c:pt>
                <c:pt idx="2">
                  <c:v>16</c:v>
                </c:pt>
              </c:numCache>
            </c:numRef>
          </c:val>
        </c:ser>
        <c:dLbls>
          <c:showLegendKey val="0"/>
          <c:showVal val="0"/>
          <c:showCatName val="0"/>
          <c:showSerName val="0"/>
          <c:showPercent val="0"/>
          <c:showBubbleSize val="0"/>
        </c:dLbls>
        <c:gapWidth val="150"/>
        <c:axId val="337210720"/>
        <c:axId val="409194136"/>
      </c:barChart>
      <c:catAx>
        <c:axId val="337210720"/>
        <c:scaling>
          <c:orientation val="minMax"/>
        </c:scaling>
        <c:delete val="0"/>
        <c:axPos val="b"/>
        <c:title>
          <c:tx>
            <c:rich>
              <a:bodyPr/>
              <a:lstStyle/>
              <a:p>
                <a:pPr>
                  <a:defRPr sz="800"/>
                </a:pPr>
                <a:r>
                  <a:rPr lang="en-GB" sz="800"/>
                  <a:t>Percentage</a:t>
                </a:r>
                <a:r>
                  <a:rPr lang="en-GB" sz="800" baseline="0"/>
                  <a:t> of Skilled deliveries</a:t>
                </a:r>
                <a:endParaRPr lang="en-GB" sz="800"/>
              </a:p>
            </c:rich>
          </c:tx>
          <c:overlay val="0"/>
        </c:title>
        <c:numFmt formatCode="General" sourceLinked="0"/>
        <c:majorTickMark val="out"/>
        <c:minorTickMark val="none"/>
        <c:tickLblPos val="nextTo"/>
        <c:txPr>
          <a:bodyPr/>
          <a:lstStyle/>
          <a:p>
            <a:pPr>
              <a:defRPr lang="en-US"/>
            </a:pPr>
            <a:endParaRPr lang="en-US"/>
          </a:p>
        </c:txPr>
        <c:crossAx val="409194136"/>
        <c:crosses val="autoZero"/>
        <c:auto val="1"/>
        <c:lblAlgn val="ctr"/>
        <c:lblOffset val="100"/>
        <c:noMultiLvlLbl val="0"/>
      </c:catAx>
      <c:valAx>
        <c:axId val="409194136"/>
        <c:scaling>
          <c:orientation val="minMax"/>
        </c:scaling>
        <c:delete val="0"/>
        <c:axPos val="l"/>
        <c:majorGridlines/>
        <c:title>
          <c:tx>
            <c:rich>
              <a:bodyPr rot="0" vert="wordArtVert"/>
              <a:lstStyle/>
              <a:p>
                <a:pPr>
                  <a:defRPr sz="800"/>
                </a:pPr>
                <a:r>
                  <a:rPr lang="en-GB" sz="800"/>
                  <a:t>Number of countries</a:t>
                </a:r>
              </a:p>
            </c:rich>
          </c:tx>
          <c:overlay val="0"/>
        </c:title>
        <c:numFmt formatCode="General" sourceLinked="1"/>
        <c:majorTickMark val="out"/>
        <c:minorTickMark val="none"/>
        <c:tickLblPos val="nextTo"/>
        <c:txPr>
          <a:bodyPr/>
          <a:lstStyle/>
          <a:p>
            <a:pPr>
              <a:defRPr lang="en-US"/>
            </a:pPr>
            <a:endParaRPr lang="en-US"/>
          </a:p>
        </c:txPr>
        <c:crossAx val="33721072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RMNCH3!$B$3</c:f>
              <c:strCache>
                <c:ptCount val="1"/>
                <c:pt idx="0">
                  <c:v>Country Code</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RMNCH3!$B$4:$B$58</c:f>
            </c:numRef>
          </c:val>
        </c:ser>
        <c:ser>
          <c:idx val="1"/>
          <c:order val="1"/>
          <c:tx>
            <c:strRef>
              <c:f>RMNCH3!$C$3</c:f>
              <c:strCache>
                <c:ptCount val="1"/>
                <c:pt idx="0">
                  <c:v>1994</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RMNCH3!$C$4:$C$58</c:f>
              <c:numCache>
                <c:formatCode>0.0</c:formatCode>
                <c:ptCount val="55"/>
                <c:pt idx="0">
                  <c:v>53.9</c:v>
                </c:pt>
                <c:pt idx="1">
                  <c:v>5.2</c:v>
                </c:pt>
                <c:pt idx="2">
                  <c:v>13.4</c:v>
                </c:pt>
                <c:pt idx="3">
                  <c:v>38.300000000000004</c:v>
                </c:pt>
                <c:pt idx="4">
                  <c:v>8.1</c:v>
                </c:pt>
                <c:pt idx="5">
                  <c:v>11.1</c:v>
                </c:pt>
                <c:pt idx="6">
                  <c:v>15.6</c:v>
                </c:pt>
                <c:pt idx="7">
                  <c:v>39.800000000000004</c:v>
                </c:pt>
                <c:pt idx="8">
                  <c:v>13.8</c:v>
                </c:pt>
                <c:pt idx="9">
                  <c:v>2.5</c:v>
                </c:pt>
                <c:pt idx="10">
                  <c:v>17.7</c:v>
                </c:pt>
                <c:pt idx="11">
                  <c:v>28.6</c:v>
                </c:pt>
                <c:pt idx="12">
                  <c:v>10.5</c:v>
                </c:pt>
                <c:pt idx="13">
                  <c:v>15</c:v>
                </c:pt>
                <c:pt idx="14">
                  <c:v>4.7</c:v>
                </c:pt>
                <c:pt idx="15">
                  <c:v>48.2</c:v>
                </c:pt>
                <c:pt idx="16">
                  <c:v>9</c:v>
                </c:pt>
                <c:pt idx="17">
                  <c:v>7</c:v>
                </c:pt>
                <c:pt idx="18">
                  <c:v>3.4</c:v>
                </c:pt>
                <c:pt idx="19">
                  <c:v>24.5</c:v>
                </c:pt>
                <c:pt idx="20">
                  <c:v>11.4</c:v>
                </c:pt>
                <c:pt idx="21">
                  <c:v>18.8</c:v>
                </c:pt>
                <c:pt idx="22">
                  <c:v>2.7</c:v>
                </c:pt>
                <c:pt idx="23">
                  <c:v>6.1</c:v>
                </c:pt>
                <c:pt idx="24">
                  <c:v>34.200000000000003</c:v>
                </c:pt>
                <c:pt idx="25">
                  <c:v>24.9</c:v>
                </c:pt>
                <c:pt idx="26">
                  <c:v>7.9</c:v>
                </c:pt>
                <c:pt idx="27">
                  <c:v>43.1</c:v>
                </c:pt>
                <c:pt idx="28">
                  <c:v>17.600000000000001</c:v>
                </c:pt>
                <c:pt idx="29">
                  <c:v>16.899999999999999</c:v>
                </c:pt>
                <c:pt idx="30">
                  <c:v>5.3</c:v>
                </c:pt>
                <c:pt idx="31">
                  <c:v>4.5999999999999996</c:v>
                </c:pt>
                <c:pt idx="32">
                  <c:v>75.7</c:v>
                </c:pt>
                <c:pt idx="33">
                  <c:v>5.3</c:v>
                </c:pt>
                <c:pt idx="34">
                  <c:v>48.1</c:v>
                </c:pt>
                <c:pt idx="35">
                  <c:v>32.700000000000003</c:v>
                </c:pt>
                <c:pt idx="36">
                  <c:v>5.3</c:v>
                </c:pt>
                <c:pt idx="37">
                  <c:v>11.6</c:v>
                </c:pt>
                <c:pt idx="38">
                  <c:v>18.899999999999999</c:v>
                </c:pt>
                <c:pt idx="40">
                  <c:v>24.4</c:v>
                </c:pt>
                <c:pt idx="41">
                  <c:v>8.2000000000000011</c:v>
                </c:pt>
                <c:pt idx="43">
                  <c:v>3.3</c:v>
                </c:pt>
                <c:pt idx="44">
                  <c:v>6</c:v>
                </c:pt>
                <c:pt idx="45">
                  <c:v>52.9</c:v>
                </c:pt>
                <c:pt idx="46">
                  <c:v>0.9</c:v>
                </c:pt>
                <c:pt idx="47">
                  <c:v>8.6</c:v>
                </c:pt>
                <c:pt idx="48">
                  <c:v>25.6</c:v>
                </c:pt>
                <c:pt idx="49">
                  <c:v>18.399999999999999</c:v>
                </c:pt>
                <c:pt idx="50">
                  <c:v>23</c:v>
                </c:pt>
                <c:pt idx="51">
                  <c:v>59.3</c:v>
                </c:pt>
                <c:pt idx="52">
                  <c:v>10.9</c:v>
                </c:pt>
                <c:pt idx="53">
                  <c:v>19.899999999999999</c:v>
                </c:pt>
                <c:pt idx="54">
                  <c:v>47.6</c:v>
                </c:pt>
              </c:numCache>
            </c:numRef>
          </c:val>
        </c:ser>
        <c:ser>
          <c:idx val="2"/>
          <c:order val="2"/>
          <c:tx>
            <c:strRef>
              <c:f>RMNCH3!$D$3</c:f>
              <c:strCache>
                <c:ptCount val="1"/>
                <c:pt idx="0">
                  <c:v>1995</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RMNCH3!$D$4:$D$58</c:f>
            </c:numRef>
          </c:val>
        </c:ser>
        <c:ser>
          <c:idx val="3"/>
          <c:order val="3"/>
          <c:tx>
            <c:strRef>
              <c:f>RMNCH3!$E$3</c:f>
              <c:strCache>
                <c:ptCount val="1"/>
                <c:pt idx="0">
                  <c:v>1996</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RMNCH3!$E$4:$E$58</c:f>
            </c:numRef>
          </c:val>
        </c:ser>
        <c:ser>
          <c:idx val="4"/>
          <c:order val="4"/>
          <c:tx>
            <c:strRef>
              <c:f>RMNCH3!$F$3</c:f>
              <c:strCache>
                <c:ptCount val="1"/>
                <c:pt idx="0">
                  <c:v>1997</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RMNCH3!$F$4:$F$58</c:f>
            </c:numRef>
          </c:val>
        </c:ser>
        <c:ser>
          <c:idx val="5"/>
          <c:order val="5"/>
          <c:tx>
            <c:strRef>
              <c:f>RMNCH3!$G$3</c:f>
              <c:strCache>
                <c:ptCount val="1"/>
                <c:pt idx="0">
                  <c:v>1998</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RMNCH3!$G$4:$G$58</c:f>
            </c:numRef>
          </c:val>
        </c:ser>
        <c:ser>
          <c:idx val="6"/>
          <c:order val="6"/>
          <c:tx>
            <c:strRef>
              <c:f>RMNCH3!$H$3</c:f>
              <c:strCache>
                <c:ptCount val="1"/>
                <c:pt idx="0">
                  <c:v>1999</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RMNCH3!$H$4:$H$58</c:f>
            </c:numRef>
          </c:val>
        </c:ser>
        <c:ser>
          <c:idx val="7"/>
          <c:order val="7"/>
          <c:tx>
            <c:strRef>
              <c:f>RMNCH3!$I$3</c:f>
              <c:strCache>
                <c:ptCount val="1"/>
                <c:pt idx="0">
                  <c:v>2000</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RMNCH3!$I$4:$I$58</c:f>
            </c:numRef>
          </c:val>
        </c:ser>
        <c:ser>
          <c:idx val="8"/>
          <c:order val="8"/>
          <c:tx>
            <c:strRef>
              <c:f>RMNCH3!$J$3</c:f>
              <c:strCache>
                <c:ptCount val="1"/>
                <c:pt idx="0">
                  <c:v>2001</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RMNCH3!$J$4:$J$58</c:f>
            </c:numRef>
          </c:val>
        </c:ser>
        <c:ser>
          <c:idx val="9"/>
          <c:order val="9"/>
          <c:tx>
            <c:strRef>
              <c:f>RMNCH3!$K$3</c:f>
              <c:strCache>
                <c:ptCount val="1"/>
                <c:pt idx="0">
                  <c:v>2002</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RMNCH3!$K$4:$K$58</c:f>
            </c:numRef>
          </c:val>
        </c:ser>
        <c:ser>
          <c:idx val="10"/>
          <c:order val="10"/>
          <c:tx>
            <c:strRef>
              <c:f>RMNCH3!$L$3</c:f>
              <c:strCache>
                <c:ptCount val="1"/>
                <c:pt idx="0">
                  <c:v>2003</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RMNCH3!$L$4:$L$58</c:f>
            </c:numRef>
          </c:val>
        </c:ser>
        <c:ser>
          <c:idx val="11"/>
          <c:order val="11"/>
          <c:tx>
            <c:strRef>
              <c:f>RMNCH3!$M$3</c:f>
              <c:strCache>
                <c:ptCount val="1"/>
                <c:pt idx="0">
                  <c:v>2004</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RMNCH3!$M$4:$M$58</c:f>
            </c:numRef>
          </c:val>
        </c:ser>
        <c:ser>
          <c:idx val="12"/>
          <c:order val="12"/>
          <c:tx>
            <c:strRef>
              <c:f>RMNCH3!$N$3</c:f>
              <c:strCache>
                <c:ptCount val="1"/>
                <c:pt idx="0">
                  <c:v>2005</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RMNCH3!$N$4:$N$58</c:f>
            </c:numRef>
          </c:val>
        </c:ser>
        <c:ser>
          <c:idx val="13"/>
          <c:order val="13"/>
          <c:tx>
            <c:strRef>
              <c:f>RMNCH3!$O$3</c:f>
              <c:strCache>
                <c:ptCount val="1"/>
                <c:pt idx="0">
                  <c:v>2006</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RMNCH3!$O$4:$O$58</c:f>
            </c:numRef>
          </c:val>
        </c:ser>
        <c:ser>
          <c:idx val="14"/>
          <c:order val="14"/>
          <c:tx>
            <c:strRef>
              <c:f>RMNCH3!$P$3</c:f>
              <c:strCache>
                <c:ptCount val="1"/>
                <c:pt idx="0">
                  <c:v>2007</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RMNCH3!$P$4:$P$58</c:f>
            </c:numRef>
          </c:val>
        </c:ser>
        <c:ser>
          <c:idx val="15"/>
          <c:order val="15"/>
          <c:tx>
            <c:strRef>
              <c:f>RMNCH3!$Q$3</c:f>
              <c:strCache>
                <c:ptCount val="1"/>
                <c:pt idx="0">
                  <c:v>2008</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RMNCH3!$Q$4:$Q$58</c:f>
            </c:numRef>
          </c:val>
        </c:ser>
        <c:ser>
          <c:idx val="16"/>
          <c:order val="16"/>
          <c:tx>
            <c:strRef>
              <c:f>RMNCH3!$R$3</c:f>
              <c:strCache>
                <c:ptCount val="1"/>
                <c:pt idx="0">
                  <c:v>2009</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RMNCH3!$R$4:$R$58</c:f>
            </c:numRef>
          </c:val>
        </c:ser>
        <c:ser>
          <c:idx val="17"/>
          <c:order val="17"/>
          <c:tx>
            <c:strRef>
              <c:f>RMNCH3!$S$3</c:f>
              <c:strCache>
                <c:ptCount val="1"/>
                <c:pt idx="0">
                  <c:v>2010</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RMNCH3!$S$4:$S$58</c:f>
              <c:numCache>
                <c:formatCode>0.0</c:formatCode>
                <c:ptCount val="55"/>
                <c:pt idx="0">
                  <c:v>62.6</c:v>
                </c:pt>
                <c:pt idx="1">
                  <c:v>12.9</c:v>
                </c:pt>
                <c:pt idx="2">
                  <c:v>19.399999999999999</c:v>
                </c:pt>
                <c:pt idx="3">
                  <c:v>53.1</c:v>
                </c:pt>
                <c:pt idx="4">
                  <c:v>16.8</c:v>
                </c:pt>
                <c:pt idx="5">
                  <c:v>0</c:v>
                </c:pt>
                <c:pt idx="6">
                  <c:v>25.6</c:v>
                </c:pt>
                <c:pt idx="7">
                  <c:v>62.4</c:v>
                </c:pt>
                <c:pt idx="8">
                  <c:v>26.3</c:v>
                </c:pt>
                <c:pt idx="9">
                  <c:v>5.5</c:v>
                </c:pt>
                <c:pt idx="10">
                  <c:v>39.800000000000004</c:v>
                </c:pt>
                <c:pt idx="11">
                  <c:v>44.6</c:v>
                </c:pt>
                <c:pt idx="12">
                  <c:v>17.600000000000001</c:v>
                </c:pt>
                <c:pt idx="13">
                  <c:v>19.3</c:v>
                </c:pt>
                <c:pt idx="14">
                  <c:v>23.8</c:v>
                </c:pt>
                <c:pt idx="15">
                  <c:v>61.5</c:v>
                </c:pt>
                <c:pt idx="16">
                  <c:v>19.399999999999999</c:v>
                </c:pt>
                <c:pt idx="17">
                  <c:v>15.2</c:v>
                </c:pt>
                <c:pt idx="18">
                  <c:v>26.9</c:v>
                </c:pt>
                <c:pt idx="19">
                  <c:v>38.5</c:v>
                </c:pt>
                <c:pt idx="20">
                  <c:v>20.8</c:v>
                </c:pt>
                <c:pt idx="21">
                  <c:v>24.2</c:v>
                </c:pt>
                <c:pt idx="22">
                  <c:v>10.8</c:v>
                </c:pt>
                <c:pt idx="23">
                  <c:v>13.6</c:v>
                </c:pt>
                <c:pt idx="24">
                  <c:v>47.3</c:v>
                </c:pt>
                <c:pt idx="25">
                  <c:v>47.9</c:v>
                </c:pt>
                <c:pt idx="26">
                  <c:v>12.9</c:v>
                </c:pt>
                <c:pt idx="27">
                  <c:v>56.1</c:v>
                </c:pt>
                <c:pt idx="28">
                  <c:v>40.4</c:v>
                </c:pt>
                <c:pt idx="29">
                  <c:v>46.1</c:v>
                </c:pt>
                <c:pt idx="30">
                  <c:v>9.3000000000000007</c:v>
                </c:pt>
                <c:pt idx="31">
                  <c:v>12.4</c:v>
                </c:pt>
                <c:pt idx="32">
                  <c:v>76</c:v>
                </c:pt>
                <c:pt idx="33">
                  <c:v>13.2</c:v>
                </c:pt>
                <c:pt idx="34">
                  <c:v>65.400000000000006</c:v>
                </c:pt>
                <c:pt idx="35">
                  <c:v>55.9</c:v>
                </c:pt>
                <c:pt idx="36">
                  <c:v>12.3</c:v>
                </c:pt>
                <c:pt idx="37">
                  <c:v>14.4</c:v>
                </c:pt>
                <c:pt idx="38">
                  <c:v>49.5</c:v>
                </c:pt>
                <c:pt idx="40">
                  <c:v>37.800000000000004</c:v>
                </c:pt>
                <c:pt idx="41">
                  <c:v>12.7</c:v>
                </c:pt>
                <c:pt idx="43">
                  <c:v>7.6</c:v>
                </c:pt>
                <c:pt idx="44">
                  <c:v>18.8</c:v>
                </c:pt>
                <c:pt idx="45">
                  <c:v>63.7</c:v>
                </c:pt>
                <c:pt idx="46">
                  <c:v>4.9000000000000004</c:v>
                </c:pt>
                <c:pt idx="47">
                  <c:v>11.8</c:v>
                </c:pt>
                <c:pt idx="48">
                  <c:v>62.6</c:v>
                </c:pt>
                <c:pt idx="49">
                  <c:v>34.300000000000004</c:v>
                </c:pt>
                <c:pt idx="50">
                  <c:v>15.2</c:v>
                </c:pt>
                <c:pt idx="51">
                  <c:v>64.099999999999994</c:v>
                </c:pt>
                <c:pt idx="52">
                  <c:v>28.4</c:v>
                </c:pt>
                <c:pt idx="53">
                  <c:v>43.2</c:v>
                </c:pt>
                <c:pt idx="54">
                  <c:v>58.9</c:v>
                </c:pt>
              </c:numCache>
            </c:numRef>
          </c:val>
        </c:ser>
        <c:ser>
          <c:idx val="18"/>
          <c:order val="18"/>
          <c:tx>
            <c:strRef>
              <c:f>RMNCH3!$T$3</c:f>
              <c:strCache>
                <c:ptCount val="1"/>
                <c:pt idx="0">
                  <c:v>2011</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RMNCH3!$T$4:$T$58</c:f>
            </c:numRef>
          </c:val>
        </c:ser>
        <c:ser>
          <c:idx val="19"/>
          <c:order val="19"/>
          <c:tx>
            <c:strRef>
              <c:f>RMNCH3!$U$3</c:f>
              <c:strCache>
                <c:ptCount val="1"/>
                <c:pt idx="0">
                  <c:v>2012</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RMNCH3!$U$4:$U$58</c:f>
            </c:numRef>
          </c:val>
        </c:ser>
        <c:ser>
          <c:idx val="20"/>
          <c:order val="20"/>
          <c:tx>
            <c:strRef>
              <c:f>RMNCH3!$V$3</c:f>
              <c:strCache>
                <c:ptCount val="1"/>
                <c:pt idx="0">
                  <c:v>2013</c:v>
                </c:pt>
              </c:strCache>
            </c:strRef>
          </c:tx>
          <c:invertIfNegative val="0"/>
          <c:cat>
            <c:strRef>
              <c:f>RMNCH3!$A$4:$A$58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Mozambique</c:v>
                </c:pt>
                <c:pt idx="34">
                  <c:v>Morocco</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RMNCH3!$V$4:$V$58</c:f>
              <c:numCache>
                <c:formatCode>0.0</c:formatCode>
                <c:ptCount val="55"/>
                <c:pt idx="0">
                  <c:v>63.9</c:v>
                </c:pt>
                <c:pt idx="1">
                  <c:v>15.2</c:v>
                </c:pt>
                <c:pt idx="2">
                  <c:v>21.6</c:v>
                </c:pt>
                <c:pt idx="3">
                  <c:v>55.1</c:v>
                </c:pt>
                <c:pt idx="4">
                  <c:v>19</c:v>
                </c:pt>
                <c:pt idx="5">
                  <c:v>25.6</c:v>
                </c:pt>
                <c:pt idx="6">
                  <c:v>27.8</c:v>
                </c:pt>
                <c:pt idx="7">
                  <c:v>63.6</c:v>
                </c:pt>
                <c:pt idx="8">
                  <c:v>29.1</c:v>
                </c:pt>
                <c:pt idx="9">
                  <c:v>6.9</c:v>
                </c:pt>
                <c:pt idx="10">
                  <c:v>43.5</c:v>
                </c:pt>
                <c:pt idx="11">
                  <c:v>46.7</c:v>
                </c:pt>
                <c:pt idx="12">
                  <c:v>20</c:v>
                </c:pt>
                <c:pt idx="13">
                  <c:v>21.9</c:v>
                </c:pt>
                <c:pt idx="14">
                  <c:v>28.8</c:v>
                </c:pt>
                <c:pt idx="15">
                  <c:v>62.7</c:v>
                </c:pt>
                <c:pt idx="16">
                  <c:v>22</c:v>
                </c:pt>
                <c:pt idx="17">
                  <c:v>18.399999999999999</c:v>
                </c:pt>
                <c:pt idx="18">
                  <c:v>32.4</c:v>
                </c:pt>
                <c:pt idx="19">
                  <c:v>40.9</c:v>
                </c:pt>
                <c:pt idx="20">
                  <c:v>23</c:v>
                </c:pt>
                <c:pt idx="21">
                  <c:v>26.3</c:v>
                </c:pt>
                <c:pt idx="22">
                  <c:v>12.9</c:v>
                </c:pt>
                <c:pt idx="23">
                  <c:v>15.7</c:v>
                </c:pt>
                <c:pt idx="24">
                  <c:v>50.7</c:v>
                </c:pt>
                <c:pt idx="25">
                  <c:v>50.9</c:v>
                </c:pt>
                <c:pt idx="26">
                  <c:v>14.8</c:v>
                </c:pt>
                <c:pt idx="27">
                  <c:v>57.8</c:v>
                </c:pt>
                <c:pt idx="28">
                  <c:v>44</c:v>
                </c:pt>
                <c:pt idx="29">
                  <c:v>49.1</c:v>
                </c:pt>
                <c:pt idx="30">
                  <c:v>11</c:v>
                </c:pt>
                <c:pt idx="31">
                  <c:v>14.6</c:v>
                </c:pt>
                <c:pt idx="32">
                  <c:v>76</c:v>
                </c:pt>
                <c:pt idx="33">
                  <c:v>15.2</c:v>
                </c:pt>
                <c:pt idx="34">
                  <c:v>66.7</c:v>
                </c:pt>
                <c:pt idx="35">
                  <c:v>57.8</c:v>
                </c:pt>
                <c:pt idx="36">
                  <c:v>14.3</c:v>
                </c:pt>
                <c:pt idx="37">
                  <c:v>15</c:v>
                </c:pt>
                <c:pt idx="38">
                  <c:v>52.3</c:v>
                </c:pt>
                <c:pt idx="40">
                  <c:v>40.200000000000003</c:v>
                </c:pt>
                <c:pt idx="41">
                  <c:v>14.6</c:v>
                </c:pt>
                <c:pt idx="43">
                  <c:v>9.1</c:v>
                </c:pt>
                <c:pt idx="44">
                  <c:v>22.8</c:v>
                </c:pt>
                <c:pt idx="45">
                  <c:v>64.7</c:v>
                </c:pt>
                <c:pt idx="46">
                  <c:v>6.7</c:v>
                </c:pt>
                <c:pt idx="47">
                  <c:v>14.3</c:v>
                </c:pt>
                <c:pt idx="48">
                  <c:v>64.099999999999994</c:v>
                </c:pt>
                <c:pt idx="49">
                  <c:v>38.4</c:v>
                </c:pt>
                <c:pt idx="50">
                  <c:v>20</c:v>
                </c:pt>
                <c:pt idx="51">
                  <c:v>65.099999999999994</c:v>
                </c:pt>
                <c:pt idx="52">
                  <c:v>32.9</c:v>
                </c:pt>
                <c:pt idx="53">
                  <c:v>47.1</c:v>
                </c:pt>
                <c:pt idx="54">
                  <c:v>60.6</c:v>
                </c:pt>
              </c:numCache>
            </c:numRef>
          </c:val>
        </c:ser>
        <c:dLbls>
          <c:showLegendKey val="0"/>
          <c:showVal val="0"/>
          <c:showCatName val="0"/>
          <c:showSerName val="0"/>
          <c:showPercent val="0"/>
          <c:showBubbleSize val="0"/>
        </c:dLbls>
        <c:gapWidth val="150"/>
        <c:axId val="409193352"/>
        <c:axId val="409191392"/>
      </c:barChart>
      <c:catAx>
        <c:axId val="409193352"/>
        <c:scaling>
          <c:orientation val="minMax"/>
        </c:scaling>
        <c:delete val="0"/>
        <c:axPos val="l"/>
        <c:numFmt formatCode="General" sourceLinked="0"/>
        <c:majorTickMark val="out"/>
        <c:minorTickMark val="none"/>
        <c:tickLblPos val="nextTo"/>
        <c:txPr>
          <a:bodyPr/>
          <a:lstStyle/>
          <a:p>
            <a:pPr>
              <a:defRPr lang="en-US" sz="800"/>
            </a:pPr>
            <a:endParaRPr lang="en-US"/>
          </a:p>
        </c:txPr>
        <c:crossAx val="409191392"/>
        <c:crosses val="autoZero"/>
        <c:auto val="1"/>
        <c:lblAlgn val="ctr"/>
        <c:lblOffset val="100"/>
        <c:noMultiLvlLbl val="0"/>
      </c:catAx>
      <c:valAx>
        <c:axId val="409191392"/>
        <c:scaling>
          <c:orientation val="minMax"/>
        </c:scaling>
        <c:delete val="0"/>
        <c:axPos val="b"/>
        <c:majorGridlines/>
        <c:numFmt formatCode="0.0" sourceLinked="1"/>
        <c:majorTickMark val="out"/>
        <c:minorTickMark val="none"/>
        <c:tickLblPos val="nextTo"/>
        <c:txPr>
          <a:bodyPr/>
          <a:lstStyle/>
          <a:p>
            <a:pPr>
              <a:defRPr lang="en-US"/>
            </a:pPr>
            <a:endParaRPr lang="en-US"/>
          </a:p>
        </c:txPr>
        <c:crossAx val="409193352"/>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sz="1000"/>
          </a:pPr>
          <a:endParaRPr lang="en-US"/>
        </a:p>
      </c:txPr>
    </c:title>
    <c:autoTitleDeleted val="0"/>
    <c:plotArea>
      <c:layout/>
      <c:barChart>
        <c:barDir val="col"/>
        <c:grouping val="clustered"/>
        <c:varyColors val="0"/>
        <c:ser>
          <c:idx val="0"/>
          <c:order val="0"/>
          <c:tx>
            <c:strRef>
              <c:f>RMNCH2!$AD$44</c:f>
              <c:strCache>
                <c:ptCount val="1"/>
                <c:pt idx="0">
                  <c:v>Unmet Need for FP</c:v>
                </c:pt>
              </c:strCache>
            </c:strRef>
          </c:tx>
          <c:invertIfNegative val="0"/>
          <c:cat>
            <c:numRef>
              <c:f>RMNCH2!$AE$43:$AH$43</c:f>
              <c:numCache>
                <c:formatCode>General</c:formatCode>
                <c:ptCount val="4"/>
                <c:pt idx="0">
                  <c:v>1994</c:v>
                </c:pt>
                <c:pt idx="1">
                  <c:v>2000</c:v>
                </c:pt>
                <c:pt idx="2">
                  <c:v>2010</c:v>
                </c:pt>
                <c:pt idx="3">
                  <c:v>2013</c:v>
                </c:pt>
              </c:numCache>
            </c:numRef>
          </c:cat>
          <c:val>
            <c:numRef>
              <c:f>RMNCH2!$AE$44:$AH$44</c:f>
              <c:numCache>
                <c:formatCode>0.0</c:formatCode>
                <c:ptCount val="4"/>
                <c:pt idx="0">
                  <c:v>27.39622641509434</c:v>
                </c:pt>
                <c:pt idx="1">
                  <c:v>26.586792452830181</c:v>
                </c:pt>
                <c:pt idx="2">
                  <c:v>24.705660377358484</c:v>
                </c:pt>
                <c:pt idx="3">
                  <c:v>23.935849056603772</c:v>
                </c:pt>
              </c:numCache>
            </c:numRef>
          </c:val>
        </c:ser>
        <c:dLbls>
          <c:showLegendKey val="0"/>
          <c:showVal val="0"/>
          <c:showCatName val="0"/>
          <c:showSerName val="0"/>
          <c:showPercent val="0"/>
          <c:showBubbleSize val="0"/>
        </c:dLbls>
        <c:gapWidth val="150"/>
        <c:axId val="409194528"/>
        <c:axId val="409191784"/>
      </c:barChart>
      <c:catAx>
        <c:axId val="409194528"/>
        <c:scaling>
          <c:orientation val="minMax"/>
        </c:scaling>
        <c:delete val="0"/>
        <c:axPos val="b"/>
        <c:numFmt formatCode="General" sourceLinked="1"/>
        <c:majorTickMark val="out"/>
        <c:minorTickMark val="none"/>
        <c:tickLblPos val="nextTo"/>
        <c:txPr>
          <a:bodyPr/>
          <a:lstStyle/>
          <a:p>
            <a:pPr>
              <a:defRPr lang="en-US"/>
            </a:pPr>
            <a:endParaRPr lang="en-US"/>
          </a:p>
        </c:txPr>
        <c:crossAx val="409191784"/>
        <c:crosses val="autoZero"/>
        <c:auto val="1"/>
        <c:lblAlgn val="ctr"/>
        <c:lblOffset val="100"/>
        <c:noMultiLvlLbl val="0"/>
      </c:catAx>
      <c:valAx>
        <c:axId val="409191784"/>
        <c:scaling>
          <c:orientation val="minMax"/>
        </c:scaling>
        <c:delete val="0"/>
        <c:axPos val="l"/>
        <c:majorGridlines/>
        <c:numFmt formatCode="0.0" sourceLinked="1"/>
        <c:majorTickMark val="out"/>
        <c:minorTickMark val="none"/>
        <c:tickLblPos val="nextTo"/>
        <c:txPr>
          <a:bodyPr/>
          <a:lstStyle/>
          <a:p>
            <a:pPr>
              <a:defRPr lang="en-US"/>
            </a:pPr>
            <a:endParaRPr lang="en-US"/>
          </a:p>
        </c:txPr>
        <c:crossAx val="40919452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6204945094601104"/>
          <c:y val="2.1411265988923674E-2"/>
          <c:w val="0.54105349063910557"/>
          <c:h val="0.93534226576144563"/>
        </c:manualLayout>
      </c:layout>
      <c:barChart>
        <c:barDir val="bar"/>
        <c:grouping val="clustered"/>
        <c:varyColors val="0"/>
        <c:ser>
          <c:idx val="0"/>
          <c:order val="0"/>
          <c:tx>
            <c:strRef>
              <c:f>'RMNCH4 (2)'!$B$3</c:f>
              <c:strCache>
                <c:ptCount val="1"/>
                <c:pt idx="0">
                  <c:v>Country Code</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(2)'!$B$4:$B$58</c:f>
            </c:numRef>
          </c:val>
        </c:ser>
        <c:ser>
          <c:idx val="1"/>
          <c:order val="1"/>
          <c:tx>
            <c:strRef>
              <c:f>'RMNCH4 (2)'!$C$3</c:f>
              <c:strCache>
                <c:ptCount val="1"/>
                <c:pt idx="0">
                  <c:v>1994</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(2)'!$C$4:$C$58</c:f>
              <c:numCache>
                <c:formatCode>#,##0.0</c:formatCode>
                <c:ptCount val="55"/>
                <c:pt idx="0">
                  <c:v>24.4</c:v>
                </c:pt>
                <c:pt idx="1">
                  <c:v>225.8</c:v>
                </c:pt>
                <c:pt idx="2">
                  <c:v>126.8</c:v>
                </c:pt>
                <c:pt idx="3">
                  <c:v>86.5</c:v>
                </c:pt>
                <c:pt idx="4">
                  <c:v>144.80000000000001</c:v>
                </c:pt>
                <c:pt idx="5">
                  <c:v>49</c:v>
                </c:pt>
                <c:pt idx="6">
                  <c:v>177.7</c:v>
                </c:pt>
                <c:pt idx="7">
                  <c:v>109</c:v>
                </c:pt>
                <c:pt idx="8">
                  <c:v>143.4</c:v>
                </c:pt>
                <c:pt idx="9">
                  <c:v>218.1</c:v>
                </c:pt>
                <c:pt idx="10">
                  <c:v>68.8</c:v>
                </c:pt>
                <c:pt idx="11">
                  <c:v>130.5</c:v>
                </c:pt>
                <c:pt idx="12">
                  <c:v>139.69999999999999</c:v>
                </c:pt>
                <c:pt idx="13">
                  <c:v>136</c:v>
                </c:pt>
                <c:pt idx="14">
                  <c:v>68.2</c:v>
                </c:pt>
                <c:pt idx="15">
                  <c:v>75.599999999999994</c:v>
                </c:pt>
                <c:pt idx="16">
                  <c:v>134.4</c:v>
                </c:pt>
                <c:pt idx="17">
                  <c:v>122.1</c:v>
                </c:pt>
                <c:pt idx="18">
                  <c:v>117.7</c:v>
                </c:pt>
                <c:pt idx="19">
                  <c:v>155.5</c:v>
                </c:pt>
                <c:pt idx="20">
                  <c:v>153.19999999999999</c:v>
                </c:pt>
                <c:pt idx="21">
                  <c:v>104</c:v>
                </c:pt>
                <c:pt idx="22">
                  <c:v>180.2</c:v>
                </c:pt>
                <c:pt idx="23">
                  <c:v>139.1</c:v>
                </c:pt>
                <c:pt idx="24">
                  <c:v>113.5</c:v>
                </c:pt>
                <c:pt idx="25">
                  <c:v>86.3</c:v>
                </c:pt>
                <c:pt idx="26">
                  <c:v>161.4</c:v>
                </c:pt>
                <c:pt idx="27">
                  <c:v>8.5</c:v>
                </c:pt>
                <c:pt idx="28">
                  <c:v>150.19999999999999</c:v>
                </c:pt>
                <c:pt idx="29">
                  <c:v>161.69999999999999</c:v>
                </c:pt>
                <c:pt idx="30">
                  <c:v>192.6</c:v>
                </c:pt>
                <c:pt idx="31">
                  <c:v>107.8</c:v>
                </c:pt>
                <c:pt idx="32">
                  <c:v>42.6</c:v>
                </c:pt>
                <c:pt idx="33">
                  <c:v>51.7</c:v>
                </c:pt>
                <c:pt idx="34">
                  <c:v>113.3</c:v>
                </c:pt>
                <c:pt idx="35">
                  <c:v>103.4</c:v>
                </c:pt>
                <c:pt idx="36">
                  <c:v>224</c:v>
                </c:pt>
                <c:pt idx="37">
                  <c:v>143.4</c:v>
                </c:pt>
                <c:pt idx="38">
                  <c:v>58.7</c:v>
                </c:pt>
                <c:pt idx="40">
                  <c:v>108.4</c:v>
                </c:pt>
                <c:pt idx="41">
                  <c:v>126</c:v>
                </c:pt>
                <c:pt idx="42">
                  <c:v>68.099999999999994</c:v>
                </c:pt>
                <c:pt idx="43">
                  <c:v>132.4</c:v>
                </c:pt>
                <c:pt idx="44">
                  <c:v>101.7</c:v>
                </c:pt>
                <c:pt idx="45">
                  <c:v>90.8</c:v>
                </c:pt>
                <c:pt idx="46">
                  <c:v>136.1</c:v>
                </c:pt>
                <c:pt idx="47">
                  <c:v>108</c:v>
                </c:pt>
                <c:pt idx="48">
                  <c:v>124.8</c:v>
                </c:pt>
                <c:pt idx="49">
                  <c:v>139.5</c:v>
                </c:pt>
                <c:pt idx="50" formatCode="General">
                  <c:v>109.6</c:v>
                </c:pt>
                <c:pt idx="51">
                  <c:v>18.100000000000001</c:v>
                </c:pt>
                <c:pt idx="52">
                  <c:v>201.3</c:v>
                </c:pt>
                <c:pt idx="53">
                  <c:v>116</c:v>
                </c:pt>
                <c:pt idx="54">
                  <c:v>110.1</c:v>
                </c:pt>
              </c:numCache>
            </c:numRef>
          </c:val>
        </c:ser>
        <c:ser>
          <c:idx val="2"/>
          <c:order val="2"/>
          <c:tx>
            <c:strRef>
              <c:f>'RMNCH4 (2)'!$D$3</c:f>
              <c:strCache>
                <c:ptCount val="1"/>
                <c:pt idx="0">
                  <c:v>1995</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(2)'!$D$4:$D$58</c:f>
            </c:numRef>
          </c:val>
        </c:ser>
        <c:ser>
          <c:idx val="3"/>
          <c:order val="3"/>
          <c:tx>
            <c:strRef>
              <c:f>'RMNCH4 (2)'!$E$3</c:f>
              <c:strCache>
                <c:ptCount val="1"/>
                <c:pt idx="0">
                  <c:v>1996</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(2)'!$E$4:$E$58</c:f>
            </c:numRef>
          </c:val>
        </c:ser>
        <c:ser>
          <c:idx val="4"/>
          <c:order val="4"/>
          <c:tx>
            <c:strRef>
              <c:f>'RMNCH4 (2)'!$F$3</c:f>
              <c:strCache>
                <c:ptCount val="1"/>
                <c:pt idx="0">
                  <c:v>1997</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(2)'!$F$4:$F$58</c:f>
            </c:numRef>
          </c:val>
        </c:ser>
        <c:ser>
          <c:idx val="5"/>
          <c:order val="5"/>
          <c:tx>
            <c:strRef>
              <c:f>'RMNCH4 (2)'!$G$3</c:f>
              <c:strCache>
                <c:ptCount val="1"/>
                <c:pt idx="0">
                  <c:v>1998</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(2)'!$G$4:$G$58</c:f>
            </c:numRef>
          </c:val>
        </c:ser>
        <c:ser>
          <c:idx val="6"/>
          <c:order val="6"/>
          <c:tx>
            <c:strRef>
              <c:f>'RMNCH4 (2)'!$H$3</c:f>
              <c:strCache>
                <c:ptCount val="1"/>
                <c:pt idx="0">
                  <c:v>1999</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(2)'!$H$4:$H$58</c:f>
            </c:numRef>
          </c:val>
        </c:ser>
        <c:ser>
          <c:idx val="7"/>
          <c:order val="7"/>
          <c:tx>
            <c:strRef>
              <c:f>'RMNCH4 (2)'!$I$3</c:f>
              <c:strCache>
                <c:ptCount val="1"/>
                <c:pt idx="0">
                  <c:v>2000</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(2)'!$I$4:$I$58</c:f>
              <c:numCache>
                <c:formatCode>#,##0.0</c:formatCode>
                <c:ptCount val="55"/>
                <c:pt idx="0">
                  <c:v>9.7000000000000011</c:v>
                </c:pt>
                <c:pt idx="1">
                  <c:v>204.7</c:v>
                </c:pt>
                <c:pt idx="2">
                  <c:v>115.7</c:v>
                </c:pt>
                <c:pt idx="3">
                  <c:v>61.2</c:v>
                </c:pt>
                <c:pt idx="4">
                  <c:v>137.1</c:v>
                </c:pt>
                <c:pt idx="5">
                  <c:v>36.6</c:v>
                </c:pt>
                <c:pt idx="6">
                  <c:v>151.1</c:v>
                </c:pt>
                <c:pt idx="7">
                  <c:v>94.7</c:v>
                </c:pt>
                <c:pt idx="8">
                  <c:v>122.5</c:v>
                </c:pt>
                <c:pt idx="9">
                  <c:v>209.7</c:v>
                </c:pt>
                <c:pt idx="10">
                  <c:v>63.6</c:v>
                </c:pt>
                <c:pt idx="11">
                  <c:v>137.9</c:v>
                </c:pt>
                <c:pt idx="12">
                  <c:v>125.2</c:v>
                </c:pt>
                <c:pt idx="13">
                  <c:v>130.1</c:v>
                </c:pt>
                <c:pt idx="14">
                  <c:v>26.9</c:v>
                </c:pt>
                <c:pt idx="15">
                  <c:v>52.5</c:v>
                </c:pt>
                <c:pt idx="16">
                  <c:v>128.80000000000001</c:v>
                </c:pt>
                <c:pt idx="17">
                  <c:v>92</c:v>
                </c:pt>
                <c:pt idx="18">
                  <c:v>105.2</c:v>
                </c:pt>
                <c:pt idx="19">
                  <c:v>126.7</c:v>
                </c:pt>
                <c:pt idx="20">
                  <c:v>117.2</c:v>
                </c:pt>
                <c:pt idx="21">
                  <c:v>77</c:v>
                </c:pt>
                <c:pt idx="22">
                  <c:v>164.2</c:v>
                </c:pt>
                <c:pt idx="23">
                  <c:v>128.69999999999999</c:v>
                </c:pt>
                <c:pt idx="24">
                  <c:v>104.2</c:v>
                </c:pt>
                <c:pt idx="25">
                  <c:v>89.6</c:v>
                </c:pt>
                <c:pt idx="26">
                  <c:v>147.4</c:v>
                </c:pt>
                <c:pt idx="27">
                  <c:v>3.7</c:v>
                </c:pt>
                <c:pt idx="28">
                  <c:v>149.5</c:v>
                </c:pt>
                <c:pt idx="29">
                  <c:v>172</c:v>
                </c:pt>
                <c:pt idx="30">
                  <c:v>185.1</c:v>
                </c:pt>
                <c:pt idx="31">
                  <c:v>92.2</c:v>
                </c:pt>
                <c:pt idx="32">
                  <c:v>36.5</c:v>
                </c:pt>
                <c:pt idx="33">
                  <c:v>34</c:v>
                </c:pt>
                <c:pt idx="34">
                  <c:v>183.2</c:v>
                </c:pt>
                <c:pt idx="35">
                  <c:v>81.7</c:v>
                </c:pt>
                <c:pt idx="36">
                  <c:v>216.1</c:v>
                </c:pt>
                <c:pt idx="37">
                  <c:v>130</c:v>
                </c:pt>
                <c:pt idx="38">
                  <c:v>44.7</c:v>
                </c:pt>
                <c:pt idx="40">
                  <c:v>85</c:v>
                </c:pt>
                <c:pt idx="41">
                  <c:v>104.2</c:v>
                </c:pt>
                <c:pt idx="42">
                  <c:v>57.9</c:v>
                </c:pt>
                <c:pt idx="43">
                  <c:v>127.1</c:v>
                </c:pt>
                <c:pt idx="44">
                  <c:v>126.9</c:v>
                </c:pt>
                <c:pt idx="45">
                  <c:v>70.7</c:v>
                </c:pt>
                <c:pt idx="46">
                  <c:v>118.3</c:v>
                </c:pt>
                <c:pt idx="47">
                  <c:v>118.9</c:v>
                </c:pt>
                <c:pt idx="48">
                  <c:v>102.4</c:v>
                </c:pt>
                <c:pt idx="49">
                  <c:v>132</c:v>
                </c:pt>
                <c:pt idx="50" formatCode="General">
                  <c:v>90.7</c:v>
                </c:pt>
                <c:pt idx="51">
                  <c:v>6.5</c:v>
                </c:pt>
                <c:pt idx="52">
                  <c:v>172.5</c:v>
                </c:pt>
                <c:pt idx="53">
                  <c:v>157</c:v>
                </c:pt>
                <c:pt idx="54">
                  <c:v>80.599999999999994</c:v>
                </c:pt>
              </c:numCache>
            </c:numRef>
          </c:val>
        </c:ser>
        <c:ser>
          <c:idx val="8"/>
          <c:order val="8"/>
          <c:tx>
            <c:strRef>
              <c:f>'RMNCH4 (2)'!$J$3</c:f>
              <c:strCache>
                <c:ptCount val="1"/>
                <c:pt idx="0">
                  <c:v>2001</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(2)'!$J$4:$J$58</c:f>
            </c:numRef>
          </c:val>
        </c:ser>
        <c:ser>
          <c:idx val="9"/>
          <c:order val="9"/>
          <c:tx>
            <c:strRef>
              <c:f>'RMNCH4 (2)'!$K$3</c:f>
              <c:strCache>
                <c:ptCount val="1"/>
                <c:pt idx="0">
                  <c:v>2002</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(2)'!$K$4:$K$58</c:f>
            </c:numRef>
          </c:val>
        </c:ser>
        <c:ser>
          <c:idx val="10"/>
          <c:order val="10"/>
          <c:tx>
            <c:strRef>
              <c:f>'RMNCH4 (2)'!$L$3</c:f>
              <c:strCache>
                <c:ptCount val="1"/>
                <c:pt idx="0">
                  <c:v>2003</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(2)'!$L$4:$L$58</c:f>
            </c:numRef>
          </c:val>
        </c:ser>
        <c:ser>
          <c:idx val="11"/>
          <c:order val="11"/>
          <c:tx>
            <c:strRef>
              <c:f>'RMNCH4 (2)'!$M$3</c:f>
              <c:strCache>
                <c:ptCount val="1"/>
                <c:pt idx="0">
                  <c:v>2004</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(2)'!$M$4:$M$58</c:f>
            </c:numRef>
          </c:val>
        </c:ser>
        <c:ser>
          <c:idx val="12"/>
          <c:order val="12"/>
          <c:tx>
            <c:strRef>
              <c:f>'RMNCH4 (2)'!$N$3</c:f>
              <c:strCache>
                <c:ptCount val="1"/>
                <c:pt idx="0">
                  <c:v>2005</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(2)'!$N$4:$N$58</c:f>
            </c:numRef>
          </c:val>
        </c:ser>
        <c:ser>
          <c:idx val="13"/>
          <c:order val="13"/>
          <c:tx>
            <c:strRef>
              <c:f>'RMNCH4 (2)'!$O$3</c:f>
              <c:strCache>
                <c:ptCount val="1"/>
                <c:pt idx="0">
                  <c:v>2006</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(2)'!$O$4:$O$58</c:f>
            </c:numRef>
          </c:val>
        </c:ser>
        <c:ser>
          <c:idx val="14"/>
          <c:order val="14"/>
          <c:tx>
            <c:strRef>
              <c:f>'RMNCH4 (2)'!$P$3</c:f>
              <c:strCache>
                <c:ptCount val="1"/>
                <c:pt idx="0">
                  <c:v>2007</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(2)'!$P$4:$P$58</c:f>
            </c:numRef>
          </c:val>
        </c:ser>
        <c:ser>
          <c:idx val="15"/>
          <c:order val="15"/>
          <c:tx>
            <c:strRef>
              <c:f>'RMNCH4 (2)'!$Q$3</c:f>
              <c:strCache>
                <c:ptCount val="1"/>
                <c:pt idx="0">
                  <c:v>2008</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(2)'!$Q$4:$Q$58</c:f>
            </c:numRef>
          </c:val>
        </c:ser>
        <c:ser>
          <c:idx val="16"/>
          <c:order val="16"/>
          <c:tx>
            <c:strRef>
              <c:f>'RMNCH4 (2)'!$R$3</c:f>
              <c:strCache>
                <c:ptCount val="1"/>
                <c:pt idx="0">
                  <c:v>2009</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(2)'!$R$4:$R$58</c:f>
            </c:numRef>
          </c:val>
        </c:ser>
        <c:ser>
          <c:idx val="17"/>
          <c:order val="17"/>
          <c:tx>
            <c:strRef>
              <c:f>'RMNCH4 (2)'!$S$3</c:f>
              <c:strCache>
                <c:ptCount val="1"/>
                <c:pt idx="0">
                  <c:v>2010</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(2)'!$S$4:$S$58</c:f>
            </c:numRef>
          </c:val>
        </c:ser>
        <c:ser>
          <c:idx val="18"/>
          <c:order val="18"/>
          <c:tx>
            <c:strRef>
              <c:f>'RMNCH4 (2)'!$T$3</c:f>
              <c:strCache>
                <c:ptCount val="1"/>
                <c:pt idx="0">
                  <c:v>2011</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(2)'!$T$4:$T$58</c:f>
            </c:numRef>
          </c:val>
        </c:ser>
        <c:ser>
          <c:idx val="19"/>
          <c:order val="19"/>
          <c:tx>
            <c:strRef>
              <c:f>'RMNCH4 (2)'!$U$3</c:f>
              <c:strCache>
                <c:ptCount val="1"/>
                <c:pt idx="0">
                  <c:v>2012</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(2)'!$U$4:$U$58</c:f>
            </c:numRef>
          </c:val>
        </c:ser>
        <c:ser>
          <c:idx val="20"/>
          <c:order val="20"/>
          <c:tx>
            <c:strRef>
              <c:f>'RMNCH4 (2)'!$V$3</c:f>
              <c:strCache>
                <c:ptCount val="1"/>
                <c:pt idx="0">
                  <c:v>2013</c:v>
                </c:pt>
              </c:strCache>
            </c:strRef>
          </c:tx>
          <c:invertIfNegative val="0"/>
          <c:cat>
            <c:strRef>
              <c:f>'RMNCH4 (2)'!$A$4:$A$58</c:f>
              <c:strCache>
                <c:ptCount val="55"/>
                <c:pt idx="0">
                  <c:v>Algeria</c:v>
                </c:pt>
                <c:pt idx="1">
                  <c:v>Angola</c:v>
                </c:pt>
                <c:pt idx="2">
                  <c:v>Benin</c:v>
                </c:pt>
                <c:pt idx="3">
                  <c:v>Botswana</c:v>
                </c:pt>
                <c:pt idx="4">
                  <c:v>Burkina Faso</c:v>
                </c:pt>
                <c:pt idx="5">
                  <c:v>Burundi</c:v>
                </c:pt>
                <c:pt idx="6">
                  <c:v>Cameroon</c:v>
                </c:pt>
                <c:pt idx="7">
                  <c:v>Cape Verde</c:v>
                </c:pt>
                <c:pt idx="8">
                  <c:v>Central African Rep</c:v>
                </c:pt>
                <c:pt idx="9">
                  <c:v>Chad</c:v>
                </c:pt>
                <c:pt idx="10">
                  <c:v>Comoros</c:v>
                </c:pt>
                <c:pt idx="11">
                  <c:v>Congo</c:v>
                </c:pt>
                <c:pt idx="12">
                  <c:v>Côte d’Ivoire</c:v>
                </c:pt>
                <c:pt idx="13">
                  <c:v>Democratic Republic of Congo</c:v>
                </c:pt>
                <c:pt idx="14">
                  <c:v>Djibouti</c:v>
                </c:pt>
                <c:pt idx="15">
                  <c:v>Egypt</c:v>
                </c:pt>
                <c:pt idx="16">
                  <c:v>Equatorial Guinea</c:v>
                </c:pt>
                <c:pt idx="17">
                  <c:v>Eritrea </c:v>
                </c:pt>
                <c:pt idx="18">
                  <c:v>Ethiopia</c:v>
                </c:pt>
                <c:pt idx="19">
                  <c:v>Gabon</c:v>
                </c:pt>
                <c:pt idx="20">
                  <c:v>Gambia</c:v>
                </c:pt>
                <c:pt idx="21">
                  <c:v>Ghana</c:v>
                </c:pt>
                <c:pt idx="22">
                  <c:v>Guinea</c:v>
                </c:pt>
                <c:pt idx="23">
                  <c:v>Guinea-Bissau</c:v>
                </c:pt>
                <c:pt idx="24">
                  <c:v>Kenya</c:v>
                </c:pt>
                <c:pt idx="25">
                  <c:v>Lesotho</c:v>
                </c:pt>
                <c:pt idx="26">
                  <c:v>Liberia</c:v>
                </c:pt>
                <c:pt idx="27">
                  <c:v>Libya</c:v>
                </c:pt>
                <c:pt idx="28">
                  <c:v>Madagascar</c:v>
                </c:pt>
                <c:pt idx="29">
                  <c:v>Malawi</c:v>
                </c:pt>
                <c:pt idx="30">
                  <c:v>Mali</c:v>
                </c:pt>
                <c:pt idx="31">
                  <c:v>Mauritania</c:v>
                </c:pt>
                <c:pt idx="32">
                  <c:v>Mauritius</c:v>
                </c:pt>
                <c:pt idx="33">
                  <c:v>Morocco</c:v>
                </c:pt>
                <c:pt idx="34">
                  <c:v>Mozambique</c:v>
                </c:pt>
                <c:pt idx="35">
                  <c:v>Namibia</c:v>
                </c:pt>
                <c:pt idx="36">
                  <c:v>Niger</c:v>
                </c:pt>
                <c:pt idx="37">
                  <c:v>Nigeria</c:v>
                </c:pt>
                <c:pt idx="38">
                  <c:v>Rwanda</c:v>
                </c:pt>
                <c:pt idx="39">
                  <c:v>Sahrawi Arab Democratic Republic</c:v>
                </c:pt>
                <c:pt idx="40">
                  <c:v>Sao Tome and Principe</c:v>
                </c:pt>
                <c:pt idx="41">
                  <c:v>Senegal</c:v>
                </c:pt>
                <c:pt idx="42">
                  <c:v>Seychelles</c:v>
                </c:pt>
                <c:pt idx="43">
                  <c:v>Sierra Leone</c:v>
                </c:pt>
                <c:pt idx="44">
                  <c:v>Somalia</c:v>
                </c:pt>
                <c:pt idx="45">
                  <c:v>South Africa</c:v>
                </c:pt>
                <c:pt idx="46">
                  <c:v>South Sudan</c:v>
                </c:pt>
                <c:pt idx="47">
                  <c:v>Sudan</c:v>
                </c:pt>
                <c:pt idx="48">
                  <c:v>Swaziland</c:v>
                </c:pt>
                <c:pt idx="49">
                  <c:v>Tanzania</c:v>
                </c:pt>
                <c:pt idx="50">
                  <c:v>Togo</c:v>
                </c:pt>
                <c:pt idx="51">
                  <c:v>Tunisia</c:v>
                </c:pt>
                <c:pt idx="52">
                  <c:v>Uganda</c:v>
                </c:pt>
                <c:pt idx="53">
                  <c:v>Zambia</c:v>
                </c:pt>
                <c:pt idx="54">
                  <c:v>Zimbabwe</c:v>
                </c:pt>
              </c:strCache>
            </c:strRef>
          </c:cat>
          <c:val>
            <c:numRef>
              <c:f>'RMNCH4 (2)'!$V$4:$V$58</c:f>
              <c:numCache>
                <c:formatCode>#,##0.0</c:formatCode>
                <c:ptCount val="55"/>
                <c:pt idx="0">
                  <c:v>6</c:v>
                </c:pt>
                <c:pt idx="1">
                  <c:v>146</c:v>
                </c:pt>
                <c:pt idx="2">
                  <c:v>96</c:v>
                </c:pt>
                <c:pt idx="3">
                  <c:v>43</c:v>
                </c:pt>
                <c:pt idx="4">
                  <c:v>117</c:v>
                </c:pt>
                <c:pt idx="5">
                  <c:v>21</c:v>
                </c:pt>
                <c:pt idx="6">
                  <c:v>114</c:v>
                </c:pt>
                <c:pt idx="7">
                  <c:v>68</c:v>
                </c:pt>
                <c:pt idx="8">
                  <c:v>98</c:v>
                </c:pt>
                <c:pt idx="9">
                  <c:v>136</c:v>
                </c:pt>
                <c:pt idx="10">
                  <c:v>50</c:v>
                </c:pt>
                <c:pt idx="11">
                  <c:v>112</c:v>
                </c:pt>
                <c:pt idx="12">
                  <c:v>103</c:v>
                </c:pt>
                <c:pt idx="13">
                  <c:v>168</c:v>
                </c:pt>
                <c:pt idx="14">
                  <c:v>19</c:v>
                </c:pt>
                <c:pt idx="15">
                  <c:v>40</c:v>
                </c:pt>
                <c:pt idx="16">
                  <c:v>114</c:v>
                </c:pt>
                <c:pt idx="17">
                  <c:v>52</c:v>
                </c:pt>
                <c:pt idx="18">
                  <c:v>46</c:v>
                </c:pt>
                <c:pt idx="19">
                  <c:v>80</c:v>
                </c:pt>
                <c:pt idx="20">
                  <c:v>66</c:v>
                </c:pt>
                <c:pt idx="21">
                  <c:v>62</c:v>
                </c:pt>
                <c:pt idx="22">
                  <c:v>131</c:v>
                </c:pt>
                <c:pt idx="23">
                  <c:v>95</c:v>
                </c:pt>
                <c:pt idx="24">
                  <c:v>98</c:v>
                </c:pt>
                <c:pt idx="25">
                  <c:v>60</c:v>
                </c:pt>
                <c:pt idx="26">
                  <c:v>121</c:v>
                </c:pt>
                <c:pt idx="27">
                  <c:v>2</c:v>
                </c:pt>
                <c:pt idx="28">
                  <c:v>122</c:v>
                </c:pt>
                <c:pt idx="29">
                  <c:v>104</c:v>
                </c:pt>
                <c:pt idx="30">
                  <c:v>167</c:v>
                </c:pt>
                <c:pt idx="31">
                  <c:v>71</c:v>
                </c:pt>
                <c:pt idx="32">
                  <c:v>31</c:v>
                </c:pt>
                <c:pt idx="33">
                  <c:v>10</c:v>
                </c:pt>
                <c:pt idx="34">
                  <c:v>122</c:v>
                </c:pt>
                <c:pt idx="35">
                  <c:v>52</c:v>
                </c:pt>
                <c:pt idx="36">
                  <c:v>192</c:v>
                </c:pt>
                <c:pt idx="37">
                  <c:v>111</c:v>
                </c:pt>
                <c:pt idx="38">
                  <c:v>35</c:v>
                </c:pt>
                <c:pt idx="40">
                  <c:v>54</c:v>
                </c:pt>
                <c:pt idx="41">
                  <c:v>88</c:v>
                </c:pt>
                <c:pt idx="43">
                  <c:v>100</c:v>
                </c:pt>
                <c:pt idx="44">
                  <c:v>68</c:v>
                </c:pt>
                <c:pt idx="45">
                  <c:v>50</c:v>
                </c:pt>
                <c:pt idx="47">
                  <c:v>52</c:v>
                </c:pt>
                <c:pt idx="48">
                  <c:v>66</c:v>
                </c:pt>
                <c:pt idx="50" formatCode="General">
                  <c:v>85</c:v>
                </c:pt>
                <c:pt idx="51">
                  <c:v>4</c:v>
                </c:pt>
                <c:pt idx="52">
                  <c:v>124</c:v>
                </c:pt>
                <c:pt idx="53">
                  <c:v>138</c:v>
                </c:pt>
                <c:pt idx="54">
                  <c:v>52</c:v>
                </c:pt>
              </c:numCache>
            </c:numRef>
          </c:val>
        </c:ser>
        <c:dLbls>
          <c:showLegendKey val="0"/>
          <c:showVal val="0"/>
          <c:showCatName val="0"/>
          <c:showSerName val="0"/>
          <c:showPercent val="0"/>
          <c:showBubbleSize val="0"/>
        </c:dLbls>
        <c:gapWidth val="150"/>
        <c:axId val="409192176"/>
        <c:axId val="409193744"/>
      </c:barChart>
      <c:catAx>
        <c:axId val="409192176"/>
        <c:scaling>
          <c:orientation val="minMax"/>
        </c:scaling>
        <c:delete val="0"/>
        <c:axPos val="l"/>
        <c:numFmt formatCode="General" sourceLinked="0"/>
        <c:majorTickMark val="out"/>
        <c:minorTickMark val="none"/>
        <c:tickLblPos val="nextTo"/>
        <c:txPr>
          <a:bodyPr/>
          <a:lstStyle/>
          <a:p>
            <a:pPr>
              <a:defRPr lang="en-US" sz="800"/>
            </a:pPr>
            <a:endParaRPr lang="en-US"/>
          </a:p>
        </c:txPr>
        <c:crossAx val="409193744"/>
        <c:crosses val="autoZero"/>
        <c:auto val="1"/>
        <c:lblAlgn val="ctr"/>
        <c:lblOffset val="100"/>
        <c:noMultiLvlLbl val="0"/>
      </c:catAx>
      <c:valAx>
        <c:axId val="409193744"/>
        <c:scaling>
          <c:orientation val="minMax"/>
        </c:scaling>
        <c:delete val="0"/>
        <c:axPos val="b"/>
        <c:majorGridlines/>
        <c:numFmt formatCode="#,##0.0" sourceLinked="1"/>
        <c:majorTickMark val="out"/>
        <c:minorTickMark val="none"/>
        <c:tickLblPos val="nextTo"/>
        <c:txPr>
          <a:bodyPr/>
          <a:lstStyle/>
          <a:p>
            <a:pPr>
              <a:defRPr lang="en-US"/>
            </a:pPr>
            <a:endParaRPr lang="en-US"/>
          </a:p>
        </c:txPr>
        <c:crossAx val="409192176"/>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458BE-2DB1-44DC-BFE2-6D4196B38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21724</Words>
  <Characters>123828</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2014 Status Report on Maternal Newborn and Child Health</vt:lpstr>
    </vt:vector>
  </TitlesOfParts>
  <Company>African Union Commission</Company>
  <LinksUpToDate>false</LinksUpToDate>
  <CharactersWithSpaces>145262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Status Report on Maternal Newborn and Child Health</dc:title>
  <dc:subject>Zero draft</dc:subject>
  <dc:creator>Kwalombota, Kwalombota</dc:creator>
  <cp:lastModifiedBy>Phillipa Tucker</cp:lastModifiedBy>
  <cp:revision>2</cp:revision>
  <dcterms:created xsi:type="dcterms:W3CDTF">2015-02-19T13:15:00Z</dcterms:created>
  <dcterms:modified xsi:type="dcterms:W3CDTF">2015-02-19T13:15:00Z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kwalombota@outlook.com@www.mendeley.com</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